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096B0" w14:textId="77777777" w:rsidR="00DB230A" w:rsidRDefault="00DB230A" w:rsidP="00DB230A">
      <w:pPr>
        <w:tabs>
          <w:tab w:val="left" w:pos="2940"/>
        </w:tabs>
        <w:spacing w:after="0"/>
        <w:jc w:val="center"/>
        <w:rPr>
          <w:rFonts w:ascii="Cambria" w:hAnsi="Cambria"/>
          <w:b/>
          <w:bCs/>
          <w:sz w:val="28"/>
          <w:szCs w:val="28"/>
        </w:rPr>
      </w:pPr>
      <w:r>
        <w:rPr>
          <w:rFonts w:ascii="Cambria" w:hAnsi="Cambria"/>
          <w:b/>
          <w:bCs/>
          <w:sz w:val="28"/>
          <w:szCs w:val="28"/>
        </w:rPr>
        <w:t>CRIMINAL LIABILITY DUE TO ENVIRONMENTAL POLLUTION BY PT ECO GREEN IN PEKANBARU</w:t>
      </w:r>
    </w:p>
    <w:p w14:paraId="42018666" w14:textId="77777777" w:rsidR="00DB230A" w:rsidRDefault="00DB230A" w:rsidP="00DB230A">
      <w:pPr>
        <w:tabs>
          <w:tab w:val="left" w:pos="2940"/>
        </w:tabs>
        <w:rPr>
          <w:rFonts w:ascii="Cambria" w:hAnsi="Cambria"/>
        </w:rPr>
      </w:pPr>
    </w:p>
    <w:p w14:paraId="4F8DD431" w14:textId="77777777" w:rsidR="00DB230A" w:rsidRDefault="00DB230A" w:rsidP="00DB230A">
      <w:pPr>
        <w:tabs>
          <w:tab w:val="left" w:pos="2940"/>
        </w:tabs>
        <w:spacing w:after="0"/>
        <w:jc w:val="center"/>
        <w:rPr>
          <w:rFonts w:ascii="Cambria" w:hAnsi="Cambria"/>
        </w:rPr>
      </w:pPr>
      <w:proofErr w:type="spellStart"/>
      <w:r>
        <w:rPr>
          <w:rFonts w:ascii="Cambria" w:hAnsi="Cambria"/>
        </w:rPr>
        <w:t>Supianto</w:t>
      </w:r>
      <w:proofErr w:type="spellEnd"/>
    </w:p>
    <w:p w14:paraId="0F122D2D" w14:textId="77777777" w:rsidR="00DB230A" w:rsidRDefault="00DB230A" w:rsidP="00DB230A">
      <w:pPr>
        <w:tabs>
          <w:tab w:val="left" w:pos="2940"/>
        </w:tabs>
        <w:spacing w:after="0"/>
        <w:jc w:val="center"/>
        <w:rPr>
          <w:rFonts w:ascii="Cambria" w:hAnsi="Cambria"/>
        </w:rPr>
      </w:pPr>
      <w:r>
        <w:rPr>
          <w:rFonts w:ascii="Cambria" w:hAnsi="Cambria"/>
        </w:rPr>
        <w:t xml:space="preserve">Faculty of Law, Indragiri Islamic University </w:t>
      </w:r>
    </w:p>
    <w:p w14:paraId="475BD4DD" w14:textId="77777777" w:rsidR="00DB230A" w:rsidRDefault="00DB230A" w:rsidP="00DB230A">
      <w:pPr>
        <w:tabs>
          <w:tab w:val="left" w:pos="2940"/>
        </w:tabs>
        <w:spacing w:after="0"/>
        <w:jc w:val="center"/>
        <w:rPr>
          <w:rFonts w:ascii="Cambria" w:hAnsi="Cambria"/>
        </w:rPr>
      </w:pPr>
      <w:proofErr w:type="spellStart"/>
      <w:r>
        <w:rPr>
          <w:rFonts w:ascii="Cambria" w:hAnsi="Cambria"/>
        </w:rPr>
        <w:t>Subrantas</w:t>
      </w:r>
      <w:proofErr w:type="spellEnd"/>
      <w:r>
        <w:rPr>
          <w:rFonts w:ascii="Cambria" w:hAnsi="Cambria"/>
        </w:rPr>
        <w:t xml:space="preserve"> Street </w:t>
      </w:r>
      <w:proofErr w:type="spellStart"/>
      <w:r>
        <w:rPr>
          <w:rFonts w:ascii="Cambria" w:hAnsi="Cambria"/>
        </w:rPr>
        <w:t>Tembilahan</w:t>
      </w:r>
      <w:proofErr w:type="spellEnd"/>
      <w:r>
        <w:rPr>
          <w:rFonts w:ascii="Cambria" w:hAnsi="Cambria"/>
        </w:rPr>
        <w:t xml:space="preserve">, Indragiri </w:t>
      </w:r>
      <w:proofErr w:type="spellStart"/>
      <w:r>
        <w:rPr>
          <w:rFonts w:ascii="Cambria" w:hAnsi="Cambria"/>
        </w:rPr>
        <w:t>Hilir</w:t>
      </w:r>
      <w:proofErr w:type="spellEnd"/>
      <w:r>
        <w:rPr>
          <w:rFonts w:ascii="Cambria" w:hAnsi="Cambria"/>
        </w:rPr>
        <w:t xml:space="preserve"> regency</w:t>
      </w:r>
    </w:p>
    <w:p w14:paraId="290200FF" w14:textId="77777777" w:rsidR="00DB230A" w:rsidRDefault="00DB230A" w:rsidP="00DB230A">
      <w:pPr>
        <w:tabs>
          <w:tab w:val="left" w:pos="2940"/>
        </w:tabs>
        <w:spacing w:after="0"/>
        <w:jc w:val="center"/>
        <w:rPr>
          <w:rFonts w:ascii="Cambria" w:hAnsi="Cambria"/>
        </w:rPr>
      </w:pPr>
      <w:r>
        <w:rPr>
          <w:rFonts w:ascii="Cambria" w:hAnsi="Cambria"/>
        </w:rPr>
        <w:t xml:space="preserve">E-mail: </w:t>
      </w:r>
      <w:hyperlink r:id="rId8" w:history="1">
        <w:r>
          <w:rPr>
            <w:rStyle w:val="Hyperlink"/>
            <w:rFonts w:ascii="Cambria" w:hAnsi="Cambria"/>
          </w:rPr>
          <w:t>supianto480@gmail.com</w:t>
        </w:r>
      </w:hyperlink>
      <w:r>
        <w:rPr>
          <w:rFonts w:ascii="Cambria" w:hAnsi="Cambria"/>
        </w:rPr>
        <w:t xml:space="preserve">.  </w:t>
      </w:r>
    </w:p>
    <w:p w14:paraId="4CED00E4" w14:textId="77777777" w:rsidR="00DB230A" w:rsidRDefault="00DB230A" w:rsidP="00DB230A">
      <w:pPr>
        <w:tabs>
          <w:tab w:val="left" w:pos="2940"/>
        </w:tabs>
        <w:spacing w:after="0"/>
        <w:jc w:val="center"/>
        <w:rPr>
          <w:rFonts w:ascii="Cambria" w:hAnsi="Cambria"/>
        </w:rPr>
      </w:pPr>
    </w:p>
    <w:p w14:paraId="3B4804E4" w14:textId="77777777" w:rsidR="00DB230A" w:rsidRDefault="00DB230A" w:rsidP="00DB230A">
      <w:pPr>
        <w:tabs>
          <w:tab w:val="left" w:pos="2940"/>
        </w:tabs>
        <w:spacing w:after="0"/>
        <w:jc w:val="center"/>
        <w:rPr>
          <w:rFonts w:ascii="Cambria" w:hAnsi="Cambria"/>
        </w:rPr>
      </w:pPr>
      <w:r>
        <w:rPr>
          <w:rFonts w:ascii="Cambria" w:hAnsi="Cambria"/>
        </w:rPr>
        <w:t xml:space="preserve">Vivi </w:t>
      </w:r>
      <w:proofErr w:type="spellStart"/>
      <w:r>
        <w:rPr>
          <w:rFonts w:ascii="Cambria" w:hAnsi="Cambria"/>
        </w:rPr>
        <w:t>Arfiani</w:t>
      </w:r>
      <w:proofErr w:type="spellEnd"/>
      <w:r>
        <w:rPr>
          <w:rFonts w:ascii="Cambria" w:hAnsi="Cambria"/>
        </w:rPr>
        <w:t xml:space="preserve"> </w:t>
      </w:r>
      <w:proofErr w:type="spellStart"/>
      <w:r>
        <w:rPr>
          <w:rFonts w:ascii="Cambria" w:hAnsi="Cambria"/>
        </w:rPr>
        <w:t>Siregar</w:t>
      </w:r>
      <w:proofErr w:type="spellEnd"/>
    </w:p>
    <w:p w14:paraId="54F08567" w14:textId="77777777" w:rsidR="00DB230A" w:rsidRDefault="00DB230A" w:rsidP="00DB230A">
      <w:pPr>
        <w:tabs>
          <w:tab w:val="left" w:pos="2940"/>
        </w:tabs>
        <w:spacing w:after="0"/>
        <w:jc w:val="center"/>
        <w:rPr>
          <w:rFonts w:ascii="Cambria" w:hAnsi="Cambria"/>
        </w:rPr>
      </w:pPr>
    </w:p>
    <w:p w14:paraId="2A3AB3CF" w14:textId="77777777" w:rsidR="00DB230A" w:rsidRDefault="00DB230A" w:rsidP="00DB230A">
      <w:pPr>
        <w:tabs>
          <w:tab w:val="left" w:pos="2940"/>
        </w:tabs>
        <w:spacing w:after="0"/>
        <w:jc w:val="center"/>
        <w:rPr>
          <w:rFonts w:ascii="Cambria" w:hAnsi="Cambria"/>
        </w:rPr>
      </w:pPr>
      <w:r>
        <w:rPr>
          <w:rFonts w:ascii="Cambria" w:hAnsi="Cambria"/>
        </w:rPr>
        <w:t xml:space="preserve">Faculty of Law, Indragiri Islamic University </w:t>
      </w:r>
    </w:p>
    <w:p w14:paraId="2910DB8D" w14:textId="77777777" w:rsidR="00DB230A" w:rsidRDefault="00DB230A" w:rsidP="00DB230A">
      <w:pPr>
        <w:tabs>
          <w:tab w:val="left" w:pos="2940"/>
        </w:tabs>
        <w:spacing w:after="0"/>
        <w:jc w:val="center"/>
        <w:rPr>
          <w:rFonts w:ascii="Cambria" w:hAnsi="Cambria"/>
        </w:rPr>
      </w:pPr>
      <w:proofErr w:type="spellStart"/>
      <w:r>
        <w:rPr>
          <w:rFonts w:ascii="Cambria" w:hAnsi="Cambria"/>
        </w:rPr>
        <w:t>Subrantas</w:t>
      </w:r>
      <w:proofErr w:type="spellEnd"/>
      <w:r>
        <w:rPr>
          <w:rFonts w:ascii="Cambria" w:hAnsi="Cambria"/>
        </w:rPr>
        <w:t xml:space="preserve"> Street </w:t>
      </w:r>
      <w:proofErr w:type="spellStart"/>
      <w:r>
        <w:rPr>
          <w:rFonts w:ascii="Cambria" w:hAnsi="Cambria"/>
        </w:rPr>
        <w:t>Tembilahan</w:t>
      </w:r>
      <w:proofErr w:type="spellEnd"/>
      <w:r>
        <w:rPr>
          <w:rFonts w:ascii="Cambria" w:hAnsi="Cambria"/>
        </w:rPr>
        <w:t xml:space="preserve">, Indragiri </w:t>
      </w:r>
      <w:proofErr w:type="spellStart"/>
      <w:r>
        <w:rPr>
          <w:rFonts w:ascii="Cambria" w:hAnsi="Cambria"/>
        </w:rPr>
        <w:t>Hilir</w:t>
      </w:r>
      <w:proofErr w:type="spellEnd"/>
      <w:r>
        <w:rPr>
          <w:rFonts w:ascii="Cambria" w:hAnsi="Cambria"/>
        </w:rPr>
        <w:t xml:space="preserve"> regency</w:t>
      </w:r>
    </w:p>
    <w:p w14:paraId="06C3716A" w14:textId="77777777" w:rsidR="00DB230A" w:rsidRDefault="00DB230A" w:rsidP="00DB230A">
      <w:pPr>
        <w:tabs>
          <w:tab w:val="left" w:pos="2940"/>
        </w:tabs>
        <w:spacing w:after="0"/>
        <w:jc w:val="center"/>
        <w:rPr>
          <w:rFonts w:ascii="Cambria" w:hAnsi="Cambria"/>
        </w:rPr>
      </w:pPr>
      <w:r>
        <w:rPr>
          <w:rFonts w:ascii="Cambria" w:hAnsi="Cambria"/>
        </w:rPr>
        <w:t xml:space="preserve">E-mail: </w:t>
      </w:r>
      <w:hyperlink r:id="rId9" w:history="1">
        <w:r>
          <w:rPr>
            <w:rStyle w:val="Hyperlink"/>
            <w:rFonts w:ascii="Cambria" w:hAnsi="Cambria"/>
          </w:rPr>
          <w:t>viviarsh1@gmail.com</w:t>
        </w:r>
      </w:hyperlink>
      <w:r>
        <w:rPr>
          <w:rFonts w:ascii="Cambria" w:hAnsi="Cambria"/>
        </w:rPr>
        <w:t xml:space="preserve">   </w:t>
      </w:r>
    </w:p>
    <w:p w14:paraId="12E2A409" w14:textId="77777777" w:rsidR="00DB230A" w:rsidRDefault="00DB230A" w:rsidP="00DB230A">
      <w:pPr>
        <w:tabs>
          <w:tab w:val="left" w:pos="2940"/>
        </w:tabs>
        <w:spacing w:after="0"/>
        <w:jc w:val="center"/>
        <w:rPr>
          <w:rFonts w:ascii="Cambria" w:hAnsi="Cambria"/>
        </w:rPr>
      </w:pPr>
    </w:p>
    <w:p w14:paraId="1BBBAD69" w14:textId="77777777" w:rsidR="00DB230A" w:rsidRDefault="00DB230A" w:rsidP="00DB230A">
      <w:pPr>
        <w:tabs>
          <w:tab w:val="left" w:pos="2940"/>
        </w:tabs>
        <w:spacing w:after="0"/>
        <w:jc w:val="center"/>
        <w:rPr>
          <w:rFonts w:ascii="Cambria" w:hAnsi="Cambria"/>
        </w:rPr>
      </w:pPr>
      <w:r>
        <w:rPr>
          <w:rFonts w:ascii="Cambria" w:hAnsi="Cambria"/>
        </w:rPr>
        <w:t xml:space="preserve">KMS. </w:t>
      </w:r>
      <w:proofErr w:type="spellStart"/>
      <w:r>
        <w:rPr>
          <w:rFonts w:ascii="Cambria" w:hAnsi="Cambria"/>
        </w:rPr>
        <w:t>Novyar</w:t>
      </w:r>
      <w:proofErr w:type="spellEnd"/>
      <w:r>
        <w:rPr>
          <w:rFonts w:ascii="Cambria" w:hAnsi="Cambria"/>
        </w:rPr>
        <w:t xml:space="preserve"> </w:t>
      </w:r>
      <w:proofErr w:type="spellStart"/>
      <w:r>
        <w:rPr>
          <w:rFonts w:ascii="Cambria" w:hAnsi="Cambria"/>
        </w:rPr>
        <w:t>Satriawan</w:t>
      </w:r>
      <w:proofErr w:type="spellEnd"/>
      <w:r>
        <w:rPr>
          <w:rFonts w:ascii="Cambria" w:hAnsi="Cambria"/>
        </w:rPr>
        <w:t xml:space="preserve"> </w:t>
      </w:r>
      <w:proofErr w:type="spellStart"/>
      <w:r>
        <w:rPr>
          <w:rFonts w:ascii="Cambria" w:hAnsi="Cambria"/>
        </w:rPr>
        <w:t>Fikri</w:t>
      </w:r>
      <w:proofErr w:type="spellEnd"/>
    </w:p>
    <w:p w14:paraId="09F85B35" w14:textId="77777777" w:rsidR="00DB230A" w:rsidRDefault="00DB230A" w:rsidP="00DB230A">
      <w:pPr>
        <w:tabs>
          <w:tab w:val="left" w:pos="2940"/>
        </w:tabs>
        <w:spacing w:after="0"/>
        <w:jc w:val="center"/>
        <w:rPr>
          <w:rFonts w:ascii="Cambria" w:hAnsi="Cambria"/>
        </w:rPr>
      </w:pPr>
    </w:p>
    <w:p w14:paraId="17CFAD5D" w14:textId="77777777" w:rsidR="00DB230A" w:rsidRDefault="00DB230A" w:rsidP="00DB230A">
      <w:pPr>
        <w:tabs>
          <w:tab w:val="left" w:pos="2940"/>
        </w:tabs>
        <w:spacing w:after="0"/>
        <w:jc w:val="center"/>
        <w:rPr>
          <w:rFonts w:ascii="Cambria" w:hAnsi="Cambria"/>
        </w:rPr>
      </w:pPr>
      <w:r>
        <w:rPr>
          <w:rFonts w:ascii="Cambria" w:hAnsi="Cambria"/>
        </w:rPr>
        <w:t xml:space="preserve">Faculty of Law, Indragiri Islamic University </w:t>
      </w:r>
    </w:p>
    <w:p w14:paraId="153A899A" w14:textId="77777777" w:rsidR="00DB230A" w:rsidRDefault="00DB230A" w:rsidP="00DB230A">
      <w:pPr>
        <w:tabs>
          <w:tab w:val="left" w:pos="2940"/>
        </w:tabs>
        <w:spacing w:after="0"/>
        <w:jc w:val="center"/>
        <w:rPr>
          <w:rFonts w:ascii="Cambria" w:hAnsi="Cambria"/>
        </w:rPr>
      </w:pPr>
      <w:proofErr w:type="spellStart"/>
      <w:r>
        <w:rPr>
          <w:rFonts w:ascii="Cambria" w:hAnsi="Cambria"/>
        </w:rPr>
        <w:t>Subrantas</w:t>
      </w:r>
      <w:proofErr w:type="spellEnd"/>
      <w:r>
        <w:rPr>
          <w:rFonts w:ascii="Cambria" w:hAnsi="Cambria"/>
        </w:rPr>
        <w:t xml:space="preserve"> Street </w:t>
      </w:r>
      <w:proofErr w:type="spellStart"/>
      <w:r>
        <w:rPr>
          <w:rFonts w:ascii="Cambria" w:hAnsi="Cambria"/>
        </w:rPr>
        <w:t>Tembilahan</w:t>
      </w:r>
      <w:proofErr w:type="spellEnd"/>
      <w:r>
        <w:rPr>
          <w:rFonts w:ascii="Cambria" w:hAnsi="Cambria"/>
        </w:rPr>
        <w:t xml:space="preserve">, Indragiri </w:t>
      </w:r>
      <w:proofErr w:type="spellStart"/>
      <w:r>
        <w:rPr>
          <w:rFonts w:ascii="Cambria" w:hAnsi="Cambria"/>
        </w:rPr>
        <w:t>Hilir</w:t>
      </w:r>
      <w:proofErr w:type="spellEnd"/>
      <w:r>
        <w:rPr>
          <w:rFonts w:ascii="Cambria" w:hAnsi="Cambria"/>
        </w:rPr>
        <w:t xml:space="preserve"> regency</w:t>
      </w:r>
    </w:p>
    <w:p w14:paraId="01BD90FF" w14:textId="77777777" w:rsidR="00DB230A" w:rsidRDefault="00DB230A" w:rsidP="00DB230A">
      <w:pPr>
        <w:tabs>
          <w:tab w:val="left" w:pos="2940"/>
        </w:tabs>
        <w:spacing w:after="0"/>
        <w:jc w:val="center"/>
        <w:rPr>
          <w:rFonts w:ascii="Cambria" w:hAnsi="Cambria"/>
        </w:rPr>
      </w:pPr>
      <w:r>
        <w:rPr>
          <w:rFonts w:ascii="Cambria" w:hAnsi="Cambria"/>
        </w:rPr>
        <w:t xml:space="preserve">E-mail: </w:t>
      </w:r>
      <w:hyperlink r:id="rId10" w:history="1">
        <w:r>
          <w:rPr>
            <w:rStyle w:val="Hyperlink"/>
            <w:rFonts w:ascii="Cambria" w:hAnsi="Cambria"/>
          </w:rPr>
          <w:t>novyarsatriawan3@gmail.com</w:t>
        </w:r>
      </w:hyperlink>
      <w:r>
        <w:rPr>
          <w:rFonts w:ascii="Cambria" w:hAnsi="Cambria"/>
        </w:rPr>
        <w:t xml:space="preserve"> </w:t>
      </w:r>
    </w:p>
    <w:p w14:paraId="60703504" w14:textId="77777777" w:rsidR="00DB230A" w:rsidRDefault="00DB230A" w:rsidP="00DB230A">
      <w:pPr>
        <w:tabs>
          <w:tab w:val="left" w:pos="2940"/>
        </w:tabs>
        <w:spacing w:after="0"/>
        <w:jc w:val="center"/>
        <w:rPr>
          <w:rFonts w:ascii="Cambria" w:hAnsi="Cambria"/>
        </w:rPr>
      </w:pPr>
    </w:p>
    <w:p w14:paraId="4BAEC501" w14:textId="77777777" w:rsidR="00DB230A" w:rsidRDefault="00DB230A" w:rsidP="00DB230A">
      <w:pPr>
        <w:tabs>
          <w:tab w:val="left" w:pos="2940"/>
        </w:tabs>
        <w:jc w:val="center"/>
        <w:rPr>
          <w:rFonts w:ascii="Cambria" w:hAnsi="Cambria"/>
          <w:b/>
          <w:bCs/>
        </w:rPr>
      </w:pPr>
      <w:r>
        <w:rPr>
          <w:rFonts w:ascii="Cambria" w:hAnsi="Cambria"/>
          <w:b/>
          <w:bCs/>
        </w:rPr>
        <w:t>Abstract</w:t>
      </w:r>
    </w:p>
    <w:p w14:paraId="0AC88D16" w14:textId="77777777" w:rsidR="00DB230A" w:rsidRDefault="00DB230A" w:rsidP="00DB230A">
      <w:pPr>
        <w:tabs>
          <w:tab w:val="left" w:pos="2940"/>
        </w:tabs>
        <w:ind w:firstLine="567"/>
        <w:jc w:val="both"/>
        <w:rPr>
          <w:rFonts w:ascii="Cambria" w:hAnsi="Cambria"/>
          <w:i/>
          <w:iCs/>
        </w:rPr>
      </w:pPr>
      <w:r>
        <w:rPr>
          <w:rFonts w:ascii="Cambria" w:hAnsi="Cambria"/>
          <w:i/>
          <w:iCs/>
        </w:rPr>
        <w:t xml:space="preserve">This article examines the issue of criminal liability resulting from environmental pollution caused by PT Eco Green in </w:t>
      </w:r>
      <w:proofErr w:type="spellStart"/>
      <w:r>
        <w:rPr>
          <w:rFonts w:ascii="Cambria" w:hAnsi="Cambria"/>
          <w:i/>
          <w:iCs/>
        </w:rPr>
        <w:t>Pekanbaru</w:t>
      </w:r>
      <w:proofErr w:type="spellEnd"/>
      <w:r>
        <w:rPr>
          <w:rFonts w:ascii="Cambria" w:hAnsi="Cambria"/>
          <w:i/>
          <w:iCs/>
        </w:rPr>
        <w:t xml:space="preserve">, Indonesia. Industrial activities in the region have led to significant contamination of air, water, and soil, raising serious legal and public health concerns. The research addresses a critical gap in current scholarship and practice by exploring the effectiveness of Indonesia’s environmental laws and law enforcement mechanisms in prosecuting corporate polluters. Employing a mixed-method approach, the study integrates normative juridical analysis with socio-legal investigation. Legal review focuses on statutory provisions, including Law No. 32 of 2009 and amendments under the Job Creation Law, while empirical data are collected through interviews and observations involving 87 stakeholders, laboratory testing of affected water sources, and examination of government </w:t>
      </w:r>
      <w:proofErr w:type="gramStart"/>
      <w:r>
        <w:rPr>
          <w:rFonts w:ascii="Cambria" w:hAnsi="Cambria"/>
          <w:i/>
          <w:iCs/>
        </w:rPr>
        <w:t>records..</w:t>
      </w:r>
      <w:proofErr w:type="gramEnd"/>
    </w:p>
    <w:p w14:paraId="4AD930AD" w14:textId="77777777" w:rsidR="00DB230A" w:rsidRDefault="00DB230A" w:rsidP="00DB230A">
      <w:pPr>
        <w:tabs>
          <w:tab w:val="left" w:pos="2940"/>
        </w:tabs>
        <w:spacing w:after="0"/>
        <w:jc w:val="both"/>
        <w:rPr>
          <w:rFonts w:ascii="Cambria" w:hAnsi="Cambria"/>
          <w:i/>
          <w:iCs/>
        </w:rPr>
      </w:pPr>
      <w:r>
        <w:rPr>
          <w:rFonts w:ascii="Cambria" w:hAnsi="Cambria"/>
          <w:b/>
          <w:bCs/>
          <w:i/>
          <w:iCs/>
        </w:rPr>
        <w:t>Keywords</w:t>
      </w:r>
      <w:r>
        <w:rPr>
          <w:rFonts w:ascii="Cambria" w:hAnsi="Cambria"/>
          <w:i/>
          <w:iCs/>
        </w:rPr>
        <w:t>: Criminal liability; Environmental pollution; Law enforcement</w:t>
      </w:r>
    </w:p>
    <w:p w14:paraId="1CE72E30" w14:textId="77777777" w:rsidR="0069072D" w:rsidRPr="0069072D" w:rsidRDefault="0069072D" w:rsidP="0069072D">
      <w:pPr>
        <w:tabs>
          <w:tab w:val="left" w:pos="2940"/>
        </w:tabs>
        <w:spacing w:after="0"/>
        <w:jc w:val="center"/>
        <w:rPr>
          <w:rFonts w:ascii="Cambria" w:hAnsi="Cambria"/>
        </w:rPr>
      </w:pPr>
    </w:p>
    <w:p w14:paraId="46B7461E" w14:textId="1E874175" w:rsidR="0069072D" w:rsidRPr="0069072D" w:rsidRDefault="0069072D" w:rsidP="0069072D">
      <w:pPr>
        <w:tabs>
          <w:tab w:val="left" w:pos="2940"/>
        </w:tabs>
        <w:jc w:val="center"/>
        <w:rPr>
          <w:rFonts w:ascii="Cambria" w:hAnsi="Cambria"/>
          <w:b/>
          <w:bCs/>
        </w:rPr>
      </w:pPr>
      <w:proofErr w:type="spellStart"/>
      <w:r w:rsidRPr="0069072D">
        <w:rPr>
          <w:rFonts w:ascii="Cambria" w:hAnsi="Cambria"/>
          <w:b/>
          <w:bCs/>
        </w:rPr>
        <w:t>Abstrak</w:t>
      </w:r>
      <w:proofErr w:type="spellEnd"/>
    </w:p>
    <w:p w14:paraId="1EB3FA89" w14:textId="04FDFC90" w:rsidR="0069072D" w:rsidRPr="0069072D" w:rsidRDefault="006E38ED" w:rsidP="0069072D">
      <w:pPr>
        <w:tabs>
          <w:tab w:val="left" w:pos="2940"/>
        </w:tabs>
        <w:ind w:firstLine="567"/>
        <w:jc w:val="both"/>
        <w:rPr>
          <w:rFonts w:ascii="Cambria" w:hAnsi="Cambria"/>
          <w:i/>
          <w:iCs/>
        </w:rPr>
      </w:pPr>
      <w:r w:rsidRPr="006E38ED">
        <w:rPr>
          <w:rFonts w:ascii="Cambria" w:hAnsi="Cambria"/>
          <w:i/>
          <w:iCs/>
        </w:rPr>
        <w:t xml:space="preserve">Artikel ini membahas isu tanggung jawab pidana yang diakibatkan oleh polusi lingkungan yang disebabkan oleh PT Eco Green di Pekanbaru, Indonesia. Aktivitas industri di wilayah tersebut telah menyebabkan pencemaran signifikan pada udara, air, dan tanah, sehingga menimbulkan kekhawatiran hukum dan kesehatan masyarakat yang serius. Penelitian ini mengatasi kesenjangan kritis dalam kajian dan praktik saat ini dengan mengeksplorasi efektivitas undang-undang lingkungan Indonesia dan mekanisme penegakan hukum dalam menuntut pencemar korporasi. Dengan menggunakan pendekatan metode </w:t>
      </w:r>
      <w:r w:rsidRPr="006E38ED">
        <w:rPr>
          <w:rFonts w:ascii="Cambria" w:hAnsi="Cambria"/>
          <w:i/>
          <w:iCs/>
        </w:rPr>
        <w:lastRenderedPageBreak/>
        <w:t xml:space="preserve">campuran, studi ini mengintegrasikan analisis yuridis normatif dengan investigasi sosial-hukum. Tinjauan hukum berfokus pada ketentuan undang-undang, termasuk Undang-Undang No. 32 tahun 2009 dan amandemen di bawah Undang-Undang Penciptaan Lapangan Kerja, sementara data empiris dikumpulkan melalui wawancara dan observasi yang melibatkan 87 pemangku </w:t>
      </w:r>
      <w:proofErr w:type="spellStart"/>
      <w:r w:rsidRPr="006E38ED">
        <w:rPr>
          <w:rFonts w:ascii="Cambria" w:hAnsi="Cambria"/>
          <w:i/>
          <w:iCs/>
        </w:rPr>
        <w:t>kepentingan</w:t>
      </w:r>
      <w:proofErr w:type="spellEnd"/>
      <w:r w:rsidRPr="006E38ED">
        <w:rPr>
          <w:rFonts w:ascii="Cambria" w:hAnsi="Cambria"/>
          <w:i/>
          <w:iCs/>
        </w:rPr>
        <w:t xml:space="preserve">, </w:t>
      </w:r>
      <w:proofErr w:type="spellStart"/>
      <w:r w:rsidRPr="006E38ED">
        <w:rPr>
          <w:rFonts w:ascii="Cambria" w:hAnsi="Cambria"/>
          <w:i/>
          <w:iCs/>
        </w:rPr>
        <w:t>pengujian</w:t>
      </w:r>
      <w:proofErr w:type="spellEnd"/>
      <w:r w:rsidRPr="006E38ED">
        <w:rPr>
          <w:rFonts w:ascii="Cambria" w:hAnsi="Cambria"/>
          <w:i/>
          <w:iCs/>
        </w:rPr>
        <w:t xml:space="preserve"> </w:t>
      </w:r>
      <w:proofErr w:type="spellStart"/>
      <w:r w:rsidRPr="006E38ED">
        <w:rPr>
          <w:rFonts w:ascii="Cambria" w:hAnsi="Cambria"/>
          <w:i/>
          <w:iCs/>
        </w:rPr>
        <w:t>laboratorium</w:t>
      </w:r>
      <w:proofErr w:type="spellEnd"/>
      <w:r w:rsidRPr="006E38ED">
        <w:rPr>
          <w:rFonts w:ascii="Cambria" w:hAnsi="Cambria"/>
          <w:i/>
          <w:iCs/>
        </w:rPr>
        <w:t xml:space="preserve"> </w:t>
      </w:r>
      <w:proofErr w:type="spellStart"/>
      <w:r w:rsidRPr="006E38ED">
        <w:rPr>
          <w:rFonts w:ascii="Cambria" w:hAnsi="Cambria"/>
          <w:i/>
          <w:iCs/>
        </w:rPr>
        <w:t>sumber</w:t>
      </w:r>
      <w:proofErr w:type="spellEnd"/>
      <w:r w:rsidRPr="006E38ED">
        <w:rPr>
          <w:rFonts w:ascii="Cambria" w:hAnsi="Cambria"/>
          <w:i/>
          <w:iCs/>
        </w:rPr>
        <w:t xml:space="preserve"> air yang </w:t>
      </w:r>
      <w:proofErr w:type="spellStart"/>
      <w:r w:rsidRPr="006E38ED">
        <w:rPr>
          <w:rFonts w:ascii="Cambria" w:hAnsi="Cambria"/>
          <w:i/>
          <w:iCs/>
        </w:rPr>
        <w:t>terdampak</w:t>
      </w:r>
      <w:proofErr w:type="spellEnd"/>
      <w:r w:rsidRPr="006E38ED">
        <w:rPr>
          <w:rFonts w:ascii="Cambria" w:hAnsi="Cambria"/>
          <w:i/>
          <w:iCs/>
        </w:rPr>
        <w:t xml:space="preserve">, dan </w:t>
      </w:r>
      <w:proofErr w:type="spellStart"/>
      <w:r w:rsidRPr="006E38ED">
        <w:rPr>
          <w:rFonts w:ascii="Cambria" w:hAnsi="Cambria"/>
          <w:i/>
          <w:iCs/>
        </w:rPr>
        <w:t>pemeriksaan</w:t>
      </w:r>
      <w:proofErr w:type="spellEnd"/>
      <w:r w:rsidRPr="006E38ED">
        <w:rPr>
          <w:rFonts w:ascii="Cambria" w:hAnsi="Cambria"/>
          <w:i/>
          <w:iCs/>
        </w:rPr>
        <w:t xml:space="preserve"> </w:t>
      </w:r>
      <w:proofErr w:type="spellStart"/>
      <w:r w:rsidRPr="006E38ED">
        <w:rPr>
          <w:rFonts w:ascii="Cambria" w:hAnsi="Cambria"/>
          <w:i/>
          <w:iCs/>
        </w:rPr>
        <w:t>catatan</w:t>
      </w:r>
      <w:proofErr w:type="spellEnd"/>
      <w:r w:rsidRPr="006E38ED">
        <w:rPr>
          <w:rFonts w:ascii="Cambria" w:hAnsi="Cambria"/>
          <w:i/>
          <w:iCs/>
        </w:rPr>
        <w:t xml:space="preserve"> </w:t>
      </w:r>
      <w:proofErr w:type="spellStart"/>
      <w:r w:rsidRPr="006E38ED">
        <w:rPr>
          <w:rFonts w:ascii="Cambria" w:hAnsi="Cambria"/>
          <w:i/>
          <w:iCs/>
        </w:rPr>
        <w:t>pemerintah</w:t>
      </w:r>
      <w:proofErr w:type="spellEnd"/>
      <w:r w:rsidRPr="006E38ED">
        <w:rPr>
          <w:rFonts w:ascii="Cambria" w:hAnsi="Cambria"/>
          <w:i/>
          <w:iCs/>
        </w:rPr>
        <w:t>.</w:t>
      </w:r>
    </w:p>
    <w:p w14:paraId="38E269D5" w14:textId="35CD1009" w:rsidR="0069072D" w:rsidRPr="0069072D" w:rsidRDefault="0069072D" w:rsidP="0069072D">
      <w:pPr>
        <w:tabs>
          <w:tab w:val="left" w:pos="2940"/>
        </w:tabs>
        <w:jc w:val="both"/>
        <w:rPr>
          <w:rFonts w:ascii="Cambria" w:hAnsi="Cambria"/>
          <w:i/>
          <w:iCs/>
        </w:rPr>
      </w:pPr>
      <w:r w:rsidRPr="0069072D">
        <w:rPr>
          <w:rFonts w:ascii="Cambria" w:hAnsi="Cambria"/>
          <w:b/>
          <w:bCs/>
          <w:i/>
          <w:iCs/>
        </w:rPr>
        <w:t>Kata kunci</w:t>
      </w:r>
      <w:r w:rsidRPr="0069072D">
        <w:rPr>
          <w:rFonts w:ascii="Cambria" w:hAnsi="Cambria"/>
          <w:i/>
          <w:iCs/>
        </w:rPr>
        <w:t>: Tanggung jawab pidana; pencemaran lingkungan; Penegakan hukum</w:t>
      </w:r>
    </w:p>
    <w:p w14:paraId="6102F2FC" w14:textId="77777777" w:rsidR="0069072D" w:rsidRPr="0069072D" w:rsidRDefault="0069072D" w:rsidP="0069072D">
      <w:pPr>
        <w:tabs>
          <w:tab w:val="left" w:pos="2940"/>
        </w:tabs>
        <w:rPr>
          <w:rFonts w:ascii="Cambria" w:hAnsi="Cambria"/>
          <w:b/>
          <w:bCs/>
        </w:rPr>
      </w:pPr>
      <w:r w:rsidRPr="0069072D">
        <w:rPr>
          <w:rFonts w:ascii="Cambria" w:hAnsi="Cambria"/>
          <w:b/>
          <w:bCs/>
        </w:rPr>
        <w:t>A. PENGANTAR</w:t>
      </w:r>
    </w:p>
    <w:p w14:paraId="3E6C57FD" w14:textId="7D91581A" w:rsidR="0069072D" w:rsidRDefault="00AA5A69" w:rsidP="00CA0A6D">
      <w:pPr>
        <w:tabs>
          <w:tab w:val="left" w:pos="2940"/>
        </w:tabs>
        <w:spacing w:line="360" w:lineRule="auto"/>
        <w:jc w:val="both"/>
        <w:rPr>
          <w:rFonts w:ascii="Cambria" w:hAnsi="Cambria"/>
        </w:rPr>
      </w:pPr>
      <w:r w:rsidRPr="00AA5A69">
        <w:rPr>
          <w:rFonts w:ascii="Cambria" w:hAnsi="Cambria"/>
        </w:rPr>
        <w:t>Polusi lingkungan yang disebabkan oleh aktivitas industri semakin menjadi isu kritis di Indonesia, khususnya di wilayah dengan pembangunan ekonomi tinggi seperti Pekanbaru</w:t>
      </w:r>
      <w:r w:rsidR="008007C1">
        <w:rPr>
          <w:rFonts w:ascii="Cambria" w:hAnsi="Cambria"/>
        </w:rPr>
        <w:fldChar w:fldCharType="begin" w:fldLock="1"/>
      </w:r>
      <w:r w:rsidR="008007C1">
        <w:rPr>
          <w:rFonts w:ascii="Cambria" w:hAnsi="Cambria"/>
        </w:rPr>
        <w:instrText>ADDIN CSL_CITATION {"citationItems":[{"id":"ITEM-1","itemData":{"DOI":"10.62951/ijsl.v1i3.101","ISSN":"3047-1923","abstract":"Corporate crime against the environment is a major crime and is very dangerous for human life. Even though there are laws that regulate forms of legal sanctions for corporations, in fact environmental pollution still occurs. In environmental criminal cases involving corporations, the principle of absolute responsibility should be applied, so that the application of absolute responsibility can be expanded. This means that the sanctions that will be imposed on the perpetrators are not only civil compensation claims but also criminal legal protection. Legal sanctions for corporations proven to have committed criminal acts of environmental pollution include imprisonment, fines and additional penalties. Law Number 32 of 2009 concerning Environmental Protection and Management states that the criminal act referred to is committed by or on behalf of a legal entity, company, association, foundation or organization, the threat of a criminal fine is increased by one third. The method used in this research is normative legal, namely research that refers to legal norms contained in statutory regulations, literature, legal norms that exist in society and the data obtained. The type of research used is qualitative research which is carried out by examining literature materials in the field of law and legislation relating to legal policies for corporations that commit criminal acts of environmental pollution. This research aims to determine criminal liability for corporations that are proven to have committed environmental pollution and to determine the factors inhibiting criminal liability for corporations that have committed environmental pollution.","author":[{"dropping-particle":"","family":"T. Riza Zarzani","given":"","non-dropping-particle":"","parse-names":false,"suffix":""},{"dropping-particle":"","family":"Ismaidar Ismaidar","given":"","non-dropping-particle":"","parse-names":false,"suffix":""},{"dropping-particle":"","family":"Mula Sihombing","given":"","non-dropping-particle":"","parse-names":false,"suffix":""}],"container-title":"International Journal of Sociology and Law","id":"ITEM-1","issue":"3","issued":{"date-parts":[["2024"]]},"page":"31-40","title":"Corporate Criminal Liability In Environmental Pollution Crimes","type":"article-journal","volume":"1"},"uris":["http://www.mendeley.com/documents/?uuid=b6c9a1f0-ae88-4020-8eeb-9b6b80756644"]}],"mendeley":{"formattedCitation":"(T. Riza Zarzani et al., 2024)","plainTextFormattedCitation":"(T. Riza Zarzani et al., 2024)","previouslyFormattedCitation":"(T. Riza Zarzani et al., 2024)"},"properties":{"noteIndex":0},"schema":"https://github.com/citation-style-language/schema/raw/master/csl-citation.json"}</w:instrText>
      </w:r>
      <w:r w:rsidR="008007C1">
        <w:rPr>
          <w:rFonts w:ascii="Cambria" w:hAnsi="Cambria"/>
        </w:rPr>
        <w:fldChar w:fldCharType="separate"/>
      </w:r>
      <w:r w:rsidR="008007C1" w:rsidRPr="008007C1">
        <w:rPr>
          <w:rFonts w:ascii="Cambria" w:hAnsi="Cambria"/>
          <w:noProof/>
        </w:rPr>
        <w:t>(T. Riza Zarzani et al., 2024)</w:t>
      </w:r>
      <w:r w:rsidR="008007C1">
        <w:rPr>
          <w:rFonts w:ascii="Cambria" w:hAnsi="Cambria"/>
        </w:rPr>
        <w:fldChar w:fldCharType="end"/>
      </w:r>
      <w:r w:rsidRPr="00AA5A69">
        <w:rPr>
          <w:rFonts w:ascii="Cambria" w:hAnsi="Cambria"/>
        </w:rPr>
        <w:t xml:space="preserve">. Banyak perusahaan, termasuk PT Eco Green, beroperasi dengan cara yang mungkin tidak sepenuhnya mematuhi regulasi lingkungan, sehingga menyebabkan kontaminasi udara, air, dan tanah. Meskipun ada undang-undang lingkungan yang kuat seperti Undang-Undang No. 32 tahun 2009, penegakan tetap tidak konsisten, dan akuntabilitas hukum bagi pencemar korporasi seringkali tidak jelas atau tertunda </w:t>
      </w:r>
      <w:r w:rsidR="008007C1">
        <w:rPr>
          <w:rFonts w:ascii="Cambria" w:hAnsi="Cambria"/>
        </w:rPr>
        <w:fldChar w:fldCharType="begin" w:fldLock="1"/>
      </w:r>
      <w:r w:rsidR="008007C1">
        <w:rPr>
          <w:rFonts w:ascii="Cambria" w:hAnsi="Cambria"/>
        </w:rPr>
        <w:instrText>ADDIN CSL_CITATION {"citationItems":[{"id":"ITEM-1","itemData":{"author":[{"dropping-particle":"","family":"Hasyim","given":"Yonani","non-dropping-particle":"","parse-names":false,"suffix":""},{"dropping-particle":"","family":"Aprita","given":"Serlika","non-dropping-particle":"","parse-names":false,"suffix":""}],"container-title":"Nurani","id":"ITEM-1","issue":"2","issued":{"date-parts":[["2021"]]},"page":"209-218","title":"The Aspects of Environmental Law Enforcement in Indonesia and The Implementation of International Agreement in The enviromental Field in Indonesia","type":"article-journal","volume":"21"},"uris":["http://www.mendeley.com/documents/?uuid=615209f0-7fcd-4bf9-93e9-94c33a934bfd"]}],"mendeley":{"formattedCitation":"(Hasyim &amp; Aprita, 2021)","plainTextFormattedCitation":"(Hasyim &amp; Aprita, 2021)","previouslyFormattedCitation":"(Hasyim &amp; Aprita, 2021)"},"properties":{"noteIndex":0},"schema":"https://github.com/citation-style-language/schema/raw/master/csl-citation.json"}</w:instrText>
      </w:r>
      <w:r w:rsidR="008007C1">
        <w:rPr>
          <w:rFonts w:ascii="Cambria" w:hAnsi="Cambria"/>
        </w:rPr>
        <w:fldChar w:fldCharType="separate"/>
      </w:r>
      <w:r w:rsidR="008007C1" w:rsidRPr="008007C1">
        <w:rPr>
          <w:rFonts w:ascii="Cambria" w:hAnsi="Cambria"/>
          <w:noProof/>
        </w:rPr>
        <w:t>(Hasyim &amp; Aprita, 2021)</w:t>
      </w:r>
      <w:r w:rsidR="008007C1">
        <w:rPr>
          <w:rFonts w:ascii="Cambria" w:hAnsi="Cambria"/>
        </w:rPr>
        <w:fldChar w:fldCharType="end"/>
      </w:r>
      <w:r w:rsidRPr="00AA5A69">
        <w:rPr>
          <w:rFonts w:ascii="Cambria" w:hAnsi="Cambria"/>
        </w:rPr>
        <w:t xml:space="preserve">. </w:t>
      </w:r>
    </w:p>
    <w:p w14:paraId="6DDCADCD" w14:textId="2DD50036" w:rsidR="00AA5A69" w:rsidRDefault="00AA5A69" w:rsidP="00CA0A6D">
      <w:pPr>
        <w:tabs>
          <w:tab w:val="left" w:pos="2940"/>
        </w:tabs>
        <w:spacing w:line="360" w:lineRule="auto"/>
        <w:jc w:val="both"/>
        <w:rPr>
          <w:rFonts w:ascii="Cambria" w:hAnsi="Cambria"/>
        </w:rPr>
      </w:pPr>
      <w:r w:rsidRPr="00AA5A69">
        <w:rPr>
          <w:rFonts w:ascii="Cambria" w:hAnsi="Cambria"/>
        </w:rPr>
        <w:t xml:space="preserve">Meskipun terdapat banyak literatur tentang regulasi lingkungan dan polusi korporasi, sedikit studi yang mendalam menyelidiki penerapan praktis hukum pidana terhadap perusahaan seperti PT Eco Green di Pekanbaru. Kesenjangan terletak pada analisis empiris yang terbatas tentang hasil penegakan hukum, dampak komunitas, dan tantangan yang dihadapi otoritas dalam menuntut kejahatan lingkungan di tingkat lokal. Kegiatan PT Eco Green diduga telah menyebabkan polusi lingkungan yang signifikan di Pekanbaru. Namun, belum jelas sejauh mana perusahaan dapat dimintai pertanggungjawaban pidana menurut hukum lingkungan Indonesia. Selain itu, hambatan dalam investigasi, penuntutan, dan sanksi menimbulkan pertanyaan mendesak tentang efektivitas sistem peradilan pidana dalam menangani pelanggaran lingkungan korporasi </w:t>
      </w:r>
      <w:r w:rsidR="008007C1">
        <w:rPr>
          <w:rFonts w:ascii="Cambria" w:hAnsi="Cambria"/>
        </w:rPr>
        <w:fldChar w:fldCharType="begin" w:fldLock="1"/>
      </w:r>
      <w:r w:rsidR="008007C1">
        <w:rPr>
          <w:rFonts w:ascii="Cambria" w:hAnsi="Cambria"/>
        </w:rPr>
        <w:instrText>ADDIN CSL_CITATION {"citationItems":[{"id":"ITEM-1","itemData":{"DOI":"10.1177/0306624X20964037","ISSN":"0306-624X","abstract":"Green criminology allows for the study of environmental and criminal laws, environmental criminality which includes widespread environmental harm, and the abuse and exploitation of nonhuman animals. Yet many environmental crimes are not the core focus of criminal justice systems or public concern about crime and safety despite having the potential to cause far wider social harm and a large number of deaths. Instead much environmental enforcement is regulatory or administrative in nature, particularly in respect of corporate environmental wrongdoing, which is often categorized as accidental wrongdoing, largely considered to be the fault of “rogue” employees or the unintended consequences of governance failures. Unlike traditional street and property crimes, environmental crimes (and environmental harms) frequently have long-lasting and irreversible effects. This raises questions about the effectiveness of justice systems in dealing with environmental offenders and the damage they cause. This paper explores the effectiveness of contemporary environmental enforcement mechanisms. In particular, the paper explores the extent to which they such mechanism are equipped to deal with corporate environmental offending which in many cases is a consequence of the operation of neoliberal markets. This paper examines whether the drive for profits and anthropocentric attitudes toward the environment and exploitation of natural resources create a situation where corporate environmental crime is a foreseeable and even natural/inevitable consequence. Where that is the case and where corporations have the resources to continue paying fines and the expertise to navigate regulatory justice systems, an alternative to the law enforcement “detection apprehension and punishment” approach might be required.","author":[{"dropping-particle":"","family":"Nurse","given":"Angus","non-dropping-particle":"","parse-names":false,"suffix":""}],"container-title":"International Journal of Offender Therapy and Comparative Criminology","id":"ITEM-1","issue":"4","issued":{"date-parts":[["2022","3","22"]]},"note":"Cited By (since 2022): 23","page":"327-344","title":"Contemporary Perspectives on Environmental Enforcement","type":"article-journal","volume":"66"},"uris":["http://www.mendeley.com/documents/?uuid=5584bb86-4b78-454d-831d-48aaaa802abe"]}],"mendeley":{"formattedCitation":"(Nurse, 2022)","plainTextFormattedCitation":"(Nurse, 2022)","previouslyFormattedCitation":"(Nurse, 2022)"},"properties":{"noteIndex":0},"schema":"https://github.com/citation-style-language/schema/raw/master/csl-citation.json"}</w:instrText>
      </w:r>
      <w:r w:rsidR="008007C1">
        <w:rPr>
          <w:rFonts w:ascii="Cambria" w:hAnsi="Cambria"/>
        </w:rPr>
        <w:fldChar w:fldCharType="separate"/>
      </w:r>
      <w:r w:rsidR="008007C1" w:rsidRPr="008007C1">
        <w:rPr>
          <w:rFonts w:ascii="Cambria" w:hAnsi="Cambria"/>
          <w:noProof/>
        </w:rPr>
        <w:t>(Perawat, 2022)</w:t>
      </w:r>
      <w:r w:rsidR="008007C1">
        <w:rPr>
          <w:rFonts w:ascii="Cambria" w:hAnsi="Cambria"/>
        </w:rPr>
        <w:fldChar w:fldCharType="end"/>
      </w:r>
      <w:r w:rsidRPr="00AA5A69">
        <w:rPr>
          <w:rFonts w:ascii="Cambria" w:hAnsi="Cambria"/>
        </w:rPr>
        <w:t xml:space="preserve">. </w:t>
      </w:r>
    </w:p>
    <w:p w14:paraId="59F7A739" w14:textId="7557D486" w:rsidR="00AA5A69" w:rsidRPr="0069072D" w:rsidRDefault="00AA5A69" w:rsidP="00CA0A6D">
      <w:pPr>
        <w:tabs>
          <w:tab w:val="left" w:pos="2940"/>
        </w:tabs>
        <w:spacing w:line="360" w:lineRule="auto"/>
        <w:jc w:val="both"/>
        <w:rPr>
          <w:rFonts w:ascii="Cambria" w:hAnsi="Cambria"/>
        </w:rPr>
      </w:pPr>
      <w:r>
        <w:rPr>
          <w:rFonts w:ascii="Cambria" w:hAnsi="Cambria"/>
        </w:rPr>
        <w:t xml:space="preserve">Studi ini memberikan pemeriksaan hukum dan empiris yang mendalam tentang tanggung jawab pidana PT Eco Green atas polusi, berkontribusi baik pada diskursus akademis maupun pembuatan kebijakan praktis. Laporan ini menyoroti tantangan penegakan hukum dalam konteks lokal nyata dan menawarkan rekomendasi untuk meningkatkan respons peradilan pidana terhadap kejahatan lingkungan yang melibatkan pelaku korporasi. Tujuan utama penelitian ini adalah menganalisis tanggung jawab pidana PT Eco Green atas polusi lingkungan di Pekanbaru dengan mempelajari undang-undang terkait, menelaah praktik penegakan, serta menilai dampak sosial dan lingkungan. Studi ini bertujuan untuk </w:t>
      </w:r>
      <w:proofErr w:type="spellStart"/>
      <w:r>
        <w:rPr>
          <w:rFonts w:ascii="Cambria" w:hAnsi="Cambria"/>
        </w:rPr>
        <w:lastRenderedPageBreak/>
        <w:t>memperjelas</w:t>
      </w:r>
      <w:proofErr w:type="spellEnd"/>
      <w:r>
        <w:rPr>
          <w:rFonts w:ascii="Cambria" w:hAnsi="Cambria"/>
        </w:rPr>
        <w:t xml:space="preserve"> </w:t>
      </w:r>
      <w:proofErr w:type="spellStart"/>
      <w:r>
        <w:rPr>
          <w:rFonts w:ascii="Cambria" w:hAnsi="Cambria"/>
        </w:rPr>
        <w:t>tanggung</w:t>
      </w:r>
      <w:proofErr w:type="spellEnd"/>
      <w:r>
        <w:rPr>
          <w:rFonts w:ascii="Cambria" w:hAnsi="Cambria"/>
        </w:rPr>
        <w:t xml:space="preserve"> </w:t>
      </w:r>
      <w:proofErr w:type="spellStart"/>
      <w:r>
        <w:rPr>
          <w:rFonts w:ascii="Cambria" w:hAnsi="Cambria"/>
        </w:rPr>
        <w:t>jawab</w:t>
      </w:r>
      <w:proofErr w:type="spellEnd"/>
      <w:r>
        <w:rPr>
          <w:rFonts w:ascii="Cambria" w:hAnsi="Cambria"/>
        </w:rPr>
        <w:t xml:space="preserve"> </w:t>
      </w:r>
      <w:proofErr w:type="spellStart"/>
      <w:r>
        <w:rPr>
          <w:rFonts w:ascii="Cambria" w:hAnsi="Cambria"/>
        </w:rPr>
        <w:t>hukum</w:t>
      </w:r>
      <w:proofErr w:type="spellEnd"/>
      <w:r>
        <w:rPr>
          <w:rFonts w:ascii="Cambria" w:hAnsi="Cambria"/>
        </w:rPr>
        <w:t xml:space="preserve"> dan </w:t>
      </w:r>
      <w:proofErr w:type="spellStart"/>
      <w:r>
        <w:rPr>
          <w:rFonts w:ascii="Cambria" w:hAnsi="Cambria"/>
        </w:rPr>
        <w:t>mengusulkan</w:t>
      </w:r>
      <w:proofErr w:type="spellEnd"/>
      <w:r>
        <w:rPr>
          <w:rFonts w:ascii="Cambria" w:hAnsi="Cambria"/>
        </w:rPr>
        <w:t xml:space="preserve"> </w:t>
      </w:r>
      <w:proofErr w:type="spellStart"/>
      <w:r>
        <w:rPr>
          <w:rFonts w:ascii="Cambria" w:hAnsi="Cambria"/>
        </w:rPr>
        <w:t>mekanisme</w:t>
      </w:r>
      <w:proofErr w:type="spellEnd"/>
      <w:r>
        <w:rPr>
          <w:rFonts w:ascii="Cambria" w:hAnsi="Cambria"/>
        </w:rPr>
        <w:t xml:space="preserve"> </w:t>
      </w:r>
      <w:proofErr w:type="spellStart"/>
      <w:r>
        <w:rPr>
          <w:rFonts w:ascii="Cambria" w:hAnsi="Cambria"/>
        </w:rPr>
        <w:t>untuk</w:t>
      </w:r>
      <w:proofErr w:type="spellEnd"/>
      <w:r>
        <w:rPr>
          <w:rFonts w:ascii="Cambria" w:hAnsi="Cambria"/>
        </w:rPr>
        <w:t xml:space="preserve"> </w:t>
      </w:r>
      <w:proofErr w:type="spellStart"/>
      <w:r>
        <w:rPr>
          <w:rFonts w:ascii="Cambria" w:hAnsi="Cambria"/>
        </w:rPr>
        <w:t>memperkuat</w:t>
      </w:r>
      <w:proofErr w:type="spellEnd"/>
      <w:r>
        <w:rPr>
          <w:rFonts w:ascii="Cambria" w:hAnsi="Cambria"/>
        </w:rPr>
        <w:t xml:space="preserve"> </w:t>
      </w:r>
      <w:proofErr w:type="spellStart"/>
      <w:r>
        <w:rPr>
          <w:rFonts w:ascii="Cambria" w:hAnsi="Cambria"/>
        </w:rPr>
        <w:t>akuntabilitas</w:t>
      </w:r>
      <w:proofErr w:type="spellEnd"/>
      <w:r>
        <w:rPr>
          <w:rFonts w:ascii="Cambria" w:hAnsi="Cambria"/>
        </w:rPr>
        <w:t xml:space="preserve"> dan </w:t>
      </w:r>
      <w:proofErr w:type="spellStart"/>
      <w:r>
        <w:rPr>
          <w:rFonts w:ascii="Cambria" w:hAnsi="Cambria"/>
        </w:rPr>
        <w:t>perlindungan</w:t>
      </w:r>
      <w:proofErr w:type="spellEnd"/>
      <w:r>
        <w:rPr>
          <w:rFonts w:ascii="Cambria" w:hAnsi="Cambria"/>
        </w:rPr>
        <w:t xml:space="preserve"> </w:t>
      </w:r>
      <w:proofErr w:type="spellStart"/>
      <w:r>
        <w:rPr>
          <w:rFonts w:ascii="Cambria" w:hAnsi="Cambria"/>
        </w:rPr>
        <w:t>lingkungan</w:t>
      </w:r>
      <w:proofErr w:type="spellEnd"/>
      <w:r>
        <w:rPr>
          <w:rFonts w:ascii="Cambria" w:hAnsi="Cambria"/>
        </w:rPr>
        <w:t>.</w:t>
      </w:r>
    </w:p>
    <w:p w14:paraId="5D7865A4" w14:textId="77777777" w:rsidR="0069072D" w:rsidRPr="0069072D" w:rsidRDefault="0069072D" w:rsidP="0069072D">
      <w:pPr>
        <w:tabs>
          <w:tab w:val="left" w:pos="2940"/>
        </w:tabs>
        <w:rPr>
          <w:rFonts w:ascii="Cambria" w:hAnsi="Cambria"/>
          <w:b/>
          <w:bCs/>
        </w:rPr>
      </w:pPr>
      <w:r w:rsidRPr="0069072D">
        <w:rPr>
          <w:rFonts w:ascii="Cambria" w:hAnsi="Cambria"/>
          <w:b/>
          <w:bCs/>
        </w:rPr>
        <w:t>B. METODE PENELITIAN</w:t>
      </w:r>
    </w:p>
    <w:p w14:paraId="19E5BFEB" w14:textId="77777777" w:rsidR="0015695F" w:rsidRPr="0015695F" w:rsidRDefault="0015695F" w:rsidP="0015695F">
      <w:pPr>
        <w:tabs>
          <w:tab w:val="left" w:pos="2940"/>
        </w:tabs>
        <w:spacing w:line="360" w:lineRule="auto"/>
        <w:jc w:val="both"/>
        <w:rPr>
          <w:rFonts w:ascii="Cambria" w:hAnsi="Cambria"/>
        </w:rPr>
      </w:pPr>
      <w:r w:rsidRPr="0015695F">
        <w:rPr>
          <w:rFonts w:ascii="Cambria" w:hAnsi="Cambria"/>
        </w:rPr>
        <w:t>Pendekatan Riset</w:t>
      </w:r>
    </w:p>
    <w:p w14:paraId="4D23BC20" w14:textId="1E0052A5" w:rsidR="00AA5A69" w:rsidRDefault="0015695F" w:rsidP="0015695F">
      <w:pPr>
        <w:tabs>
          <w:tab w:val="left" w:pos="2940"/>
        </w:tabs>
        <w:spacing w:line="360" w:lineRule="auto"/>
        <w:jc w:val="both"/>
        <w:rPr>
          <w:rFonts w:ascii="Cambria" w:hAnsi="Cambria"/>
        </w:rPr>
      </w:pPr>
      <w:r w:rsidRPr="0015695F">
        <w:rPr>
          <w:rFonts w:ascii="Cambria" w:hAnsi="Cambria"/>
        </w:rPr>
        <w:t>Studi ini menggunakan pendekatan penelitian hukum metode campuran, mengintegrasikan metode yuridis normatif dan sosio-hukum untuk memberikan pemeriksaan komprehensif tentang tanggung jawab pidana lingkungan. Metode yuridis normatif berfokus pada analisis legislasi dan doktrin hukum yang relevan, sementara metode sosio-hukum menangani implikasi empiris dan praktis dari penegakan hukum di bidang ini.</w:t>
      </w:r>
    </w:p>
    <w:p w14:paraId="742FC077" w14:textId="77777777" w:rsidR="0015695F" w:rsidRPr="0015695F" w:rsidRDefault="0015695F" w:rsidP="0015695F">
      <w:pPr>
        <w:tabs>
          <w:tab w:val="left" w:pos="2940"/>
        </w:tabs>
        <w:spacing w:line="360" w:lineRule="auto"/>
        <w:jc w:val="both"/>
        <w:rPr>
          <w:rFonts w:ascii="Cambria" w:hAnsi="Cambria"/>
        </w:rPr>
      </w:pPr>
      <w:r w:rsidRPr="0015695F">
        <w:rPr>
          <w:rFonts w:ascii="Cambria" w:hAnsi="Cambria"/>
        </w:rPr>
        <w:t>Sumber Data</w:t>
      </w:r>
    </w:p>
    <w:p w14:paraId="010C5A42" w14:textId="66F778A9" w:rsidR="0015695F" w:rsidRDefault="0015695F" w:rsidP="0015695F">
      <w:pPr>
        <w:tabs>
          <w:tab w:val="left" w:pos="2940"/>
        </w:tabs>
        <w:spacing w:line="360" w:lineRule="auto"/>
        <w:jc w:val="both"/>
        <w:rPr>
          <w:rFonts w:ascii="Cambria" w:hAnsi="Cambria"/>
        </w:rPr>
      </w:pPr>
      <w:r w:rsidRPr="0015695F">
        <w:rPr>
          <w:rFonts w:ascii="Cambria" w:hAnsi="Cambria"/>
        </w:rPr>
        <w:t>Materi hukum utama meliputi Undang-Undang No. 32 tahun 2009 tentang Perlindungan dan Pengelolaan Lingkungan Indonesia, amandemen dari Undang-Undang No. 11 tahun 2020 (Undang-Undang Penciptaan Lapangan Kerja/Omnibus), dan undang-undang pidana terkait. Data sekunder terdiri dari artikel akademik, keputusan pengadilan sebelumnya, dokumen resmi pemerintah, laporan badan lingkungan, dan analisis kebijakan.</w:t>
      </w:r>
    </w:p>
    <w:p w14:paraId="03893F77" w14:textId="77777777" w:rsidR="0015695F" w:rsidRPr="0015695F" w:rsidRDefault="0015695F" w:rsidP="0015695F">
      <w:pPr>
        <w:tabs>
          <w:tab w:val="left" w:pos="2940"/>
        </w:tabs>
        <w:spacing w:line="360" w:lineRule="auto"/>
        <w:jc w:val="both"/>
        <w:rPr>
          <w:rFonts w:ascii="Cambria" w:hAnsi="Cambria"/>
        </w:rPr>
      </w:pPr>
      <w:r w:rsidRPr="0015695F">
        <w:rPr>
          <w:rFonts w:ascii="Cambria" w:hAnsi="Cambria"/>
        </w:rPr>
        <w:t>Pengumpulan Data</w:t>
      </w:r>
    </w:p>
    <w:p w14:paraId="43546D48" w14:textId="77777777" w:rsidR="0015695F" w:rsidRPr="0015695F" w:rsidRDefault="0015695F" w:rsidP="0015695F">
      <w:pPr>
        <w:tabs>
          <w:tab w:val="left" w:pos="2940"/>
        </w:tabs>
        <w:spacing w:line="360" w:lineRule="auto"/>
        <w:jc w:val="both"/>
        <w:rPr>
          <w:rFonts w:ascii="Cambria" w:hAnsi="Cambria"/>
        </w:rPr>
      </w:pPr>
      <w:r w:rsidRPr="0015695F">
        <w:rPr>
          <w:rFonts w:ascii="Cambria" w:hAnsi="Cambria"/>
        </w:rPr>
        <w:t xml:space="preserve">Data normatif dikumpulkan melalui tinjauan pustaka dan analisis undang-undang. Untuk komponen sosial-hukum, pengumpulan data melibatkan wawancara semi-terstruktur, observasi lapangan, dan peninjauan dokumen penegakan. Wawancara dilakukan dengan sampel terarah sebanyak 87 peserta, mewakili pejabat lingkungan, </w:t>
      </w:r>
      <w:proofErr w:type="spellStart"/>
      <w:r w:rsidRPr="0015695F">
        <w:rPr>
          <w:rFonts w:ascii="Cambria" w:hAnsi="Cambria"/>
        </w:rPr>
        <w:t>praktisi</w:t>
      </w:r>
      <w:proofErr w:type="spellEnd"/>
      <w:r w:rsidRPr="0015695F">
        <w:rPr>
          <w:rFonts w:ascii="Cambria" w:hAnsi="Cambria"/>
        </w:rPr>
        <w:t xml:space="preserve"> </w:t>
      </w:r>
      <w:proofErr w:type="spellStart"/>
      <w:r w:rsidRPr="0015695F">
        <w:rPr>
          <w:rFonts w:ascii="Cambria" w:hAnsi="Cambria"/>
        </w:rPr>
        <w:t>hukum</w:t>
      </w:r>
      <w:proofErr w:type="spellEnd"/>
      <w:r w:rsidRPr="0015695F">
        <w:rPr>
          <w:rFonts w:ascii="Cambria" w:hAnsi="Cambria"/>
        </w:rPr>
        <w:t xml:space="preserve">, </w:t>
      </w:r>
      <w:proofErr w:type="spellStart"/>
      <w:r w:rsidRPr="0015695F">
        <w:rPr>
          <w:rFonts w:ascii="Cambria" w:hAnsi="Cambria"/>
        </w:rPr>
        <w:t>penduduk</w:t>
      </w:r>
      <w:proofErr w:type="spellEnd"/>
      <w:r w:rsidRPr="0015695F">
        <w:rPr>
          <w:rFonts w:ascii="Cambria" w:hAnsi="Cambria"/>
        </w:rPr>
        <w:t xml:space="preserve"> </w:t>
      </w:r>
      <w:proofErr w:type="spellStart"/>
      <w:r w:rsidRPr="0015695F">
        <w:rPr>
          <w:rFonts w:ascii="Cambria" w:hAnsi="Cambria"/>
        </w:rPr>
        <w:t>lokal</w:t>
      </w:r>
      <w:proofErr w:type="spellEnd"/>
      <w:r w:rsidRPr="0015695F">
        <w:rPr>
          <w:rFonts w:ascii="Cambria" w:hAnsi="Cambria"/>
        </w:rPr>
        <w:t xml:space="preserve"> yang </w:t>
      </w:r>
      <w:proofErr w:type="spellStart"/>
      <w:r w:rsidRPr="0015695F">
        <w:rPr>
          <w:rFonts w:ascii="Cambria" w:hAnsi="Cambria"/>
        </w:rPr>
        <w:t>terdampak</w:t>
      </w:r>
      <w:proofErr w:type="spellEnd"/>
      <w:r w:rsidRPr="0015695F">
        <w:rPr>
          <w:rFonts w:ascii="Cambria" w:hAnsi="Cambria"/>
        </w:rPr>
        <w:t xml:space="preserve"> </w:t>
      </w:r>
      <w:proofErr w:type="spellStart"/>
      <w:r w:rsidRPr="0015695F">
        <w:rPr>
          <w:rFonts w:ascii="Cambria" w:hAnsi="Cambria"/>
        </w:rPr>
        <w:t>polusi</w:t>
      </w:r>
      <w:proofErr w:type="spellEnd"/>
      <w:r w:rsidRPr="0015695F">
        <w:rPr>
          <w:rFonts w:ascii="Cambria" w:hAnsi="Cambria"/>
        </w:rPr>
        <w:t xml:space="preserve">, dan LSM </w:t>
      </w:r>
      <w:proofErr w:type="spellStart"/>
      <w:r w:rsidRPr="0015695F">
        <w:rPr>
          <w:rFonts w:ascii="Cambria" w:hAnsi="Cambria"/>
        </w:rPr>
        <w:t>lingkungan</w:t>
      </w:r>
      <w:proofErr w:type="spellEnd"/>
      <w:r w:rsidRPr="0015695F">
        <w:rPr>
          <w:rFonts w:ascii="Cambria" w:hAnsi="Cambria"/>
        </w:rPr>
        <w:t xml:space="preserve"> di </w:t>
      </w:r>
      <w:proofErr w:type="spellStart"/>
      <w:r w:rsidRPr="0015695F">
        <w:rPr>
          <w:rFonts w:ascii="Cambria" w:hAnsi="Cambria"/>
        </w:rPr>
        <w:t>Pekanbaru</w:t>
      </w:r>
      <w:proofErr w:type="spellEnd"/>
      <w:r w:rsidRPr="0015695F">
        <w:rPr>
          <w:rFonts w:ascii="Cambria" w:hAnsi="Cambria"/>
        </w:rPr>
        <w:t>.</w:t>
      </w:r>
    </w:p>
    <w:p w14:paraId="77736EB0" w14:textId="77777777" w:rsidR="0015695F" w:rsidRPr="0015695F" w:rsidRDefault="0015695F" w:rsidP="0015695F">
      <w:pPr>
        <w:tabs>
          <w:tab w:val="left" w:pos="2940"/>
        </w:tabs>
        <w:spacing w:line="360" w:lineRule="auto"/>
        <w:jc w:val="both"/>
        <w:rPr>
          <w:rFonts w:ascii="Cambria" w:hAnsi="Cambria"/>
        </w:rPr>
      </w:pPr>
      <w:r w:rsidRPr="0015695F">
        <w:rPr>
          <w:rFonts w:ascii="Cambria" w:hAnsi="Cambria"/>
        </w:rPr>
        <w:t>Teknik Analisis</w:t>
      </w:r>
    </w:p>
    <w:p w14:paraId="36C0DDE2" w14:textId="547080DB" w:rsidR="0015695F" w:rsidRDefault="0015695F" w:rsidP="0015695F">
      <w:pPr>
        <w:tabs>
          <w:tab w:val="left" w:pos="2940"/>
        </w:tabs>
        <w:spacing w:line="360" w:lineRule="auto"/>
        <w:jc w:val="both"/>
        <w:rPr>
          <w:rFonts w:ascii="Cambria" w:hAnsi="Cambria"/>
        </w:rPr>
      </w:pPr>
      <w:r w:rsidRPr="0015695F">
        <w:rPr>
          <w:rFonts w:ascii="Cambria" w:hAnsi="Cambria"/>
        </w:rPr>
        <w:t xml:space="preserve">Metode deskriptif-analitis digunakan untuk menafsirkan materi undang-undang dan doktrinal, dengan penekanan pada identifikasi prinsip hukum dan penilaian tanggung jawab pidana korporasi. Data wawancara empiris dan lapangan diproses dengan pengkodean tematik kualitatif, memungkinkan identifikasi pola, kesenjangan penegakan hukum, dan persepsi komunitas. Triangulasi diterapkan antara teks hukum, temuan wawancara, dan laporan lingkungan untuk memastikan </w:t>
      </w:r>
      <w:proofErr w:type="spellStart"/>
      <w:r w:rsidRPr="0015695F">
        <w:rPr>
          <w:rFonts w:ascii="Cambria" w:hAnsi="Cambria"/>
        </w:rPr>
        <w:t>validitas</w:t>
      </w:r>
      <w:proofErr w:type="spellEnd"/>
      <w:r w:rsidRPr="0015695F">
        <w:rPr>
          <w:rFonts w:ascii="Cambria" w:hAnsi="Cambria"/>
        </w:rPr>
        <w:t xml:space="preserve"> data dan </w:t>
      </w:r>
      <w:proofErr w:type="spellStart"/>
      <w:r w:rsidRPr="0015695F">
        <w:rPr>
          <w:rFonts w:ascii="Cambria" w:hAnsi="Cambria"/>
        </w:rPr>
        <w:t>memperkuat</w:t>
      </w:r>
      <w:proofErr w:type="spellEnd"/>
      <w:r w:rsidRPr="0015695F">
        <w:rPr>
          <w:rFonts w:ascii="Cambria" w:hAnsi="Cambria"/>
        </w:rPr>
        <w:t xml:space="preserve"> </w:t>
      </w:r>
      <w:proofErr w:type="spellStart"/>
      <w:r w:rsidRPr="0015695F">
        <w:rPr>
          <w:rFonts w:ascii="Cambria" w:hAnsi="Cambria"/>
        </w:rPr>
        <w:t>kredibilitas</w:t>
      </w:r>
      <w:proofErr w:type="spellEnd"/>
      <w:r w:rsidRPr="0015695F">
        <w:rPr>
          <w:rFonts w:ascii="Cambria" w:hAnsi="Cambria"/>
        </w:rPr>
        <w:t xml:space="preserve"> </w:t>
      </w:r>
      <w:proofErr w:type="spellStart"/>
      <w:r w:rsidRPr="0015695F">
        <w:rPr>
          <w:rFonts w:ascii="Cambria" w:hAnsi="Cambria"/>
        </w:rPr>
        <w:t>hasil</w:t>
      </w:r>
      <w:proofErr w:type="spellEnd"/>
      <w:r w:rsidRPr="0015695F">
        <w:rPr>
          <w:rFonts w:ascii="Cambria" w:hAnsi="Cambria"/>
        </w:rPr>
        <w:t xml:space="preserve"> </w:t>
      </w:r>
      <w:proofErr w:type="spellStart"/>
      <w:r w:rsidRPr="0015695F">
        <w:rPr>
          <w:rFonts w:ascii="Cambria" w:hAnsi="Cambria"/>
        </w:rPr>
        <w:t>penelitian</w:t>
      </w:r>
      <w:proofErr w:type="spellEnd"/>
      <w:r w:rsidRPr="0015695F">
        <w:rPr>
          <w:rFonts w:ascii="Cambria" w:hAnsi="Cambria"/>
        </w:rPr>
        <w:t>.</w:t>
      </w:r>
    </w:p>
    <w:p w14:paraId="7B0C324A" w14:textId="77777777" w:rsidR="00DB230A" w:rsidRDefault="00DB230A" w:rsidP="0015695F">
      <w:pPr>
        <w:tabs>
          <w:tab w:val="left" w:pos="2940"/>
        </w:tabs>
        <w:spacing w:line="360" w:lineRule="auto"/>
        <w:jc w:val="both"/>
        <w:rPr>
          <w:rFonts w:ascii="Cambria" w:hAnsi="Cambria"/>
        </w:rPr>
      </w:pPr>
    </w:p>
    <w:p w14:paraId="64E72209" w14:textId="1202F81C" w:rsidR="0069072D" w:rsidRPr="0069072D" w:rsidRDefault="0069072D" w:rsidP="0069072D">
      <w:pPr>
        <w:tabs>
          <w:tab w:val="left" w:pos="2940"/>
        </w:tabs>
        <w:jc w:val="both"/>
        <w:rPr>
          <w:rFonts w:ascii="Cambria" w:hAnsi="Cambria"/>
          <w:b/>
          <w:bCs/>
        </w:rPr>
      </w:pPr>
      <w:r w:rsidRPr="0069072D">
        <w:rPr>
          <w:rFonts w:ascii="Cambria" w:hAnsi="Cambria"/>
          <w:b/>
          <w:bCs/>
        </w:rPr>
        <w:lastRenderedPageBreak/>
        <w:t>C. DISKUSI DAN ANALISIS</w:t>
      </w:r>
    </w:p>
    <w:p w14:paraId="55B126AA" w14:textId="33302BD1" w:rsidR="0015695F" w:rsidRDefault="0015695F" w:rsidP="0015695F">
      <w:pPr>
        <w:jc w:val="both"/>
        <w:rPr>
          <w:rFonts w:ascii="Cambria" w:hAnsi="Cambria"/>
        </w:rPr>
      </w:pPr>
      <w:r>
        <w:rPr>
          <w:rFonts w:ascii="Cambria" w:hAnsi="Cambria"/>
        </w:rPr>
        <w:t>Hasil dan Diskusi</w:t>
      </w:r>
    </w:p>
    <w:p w14:paraId="08460B5D" w14:textId="36B84162" w:rsidR="0015695F" w:rsidRDefault="0015695F" w:rsidP="008007C1">
      <w:pPr>
        <w:spacing w:line="360" w:lineRule="auto"/>
        <w:jc w:val="both"/>
        <w:rPr>
          <w:rFonts w:ascii="Cambria" w:hAnsi="Cambria"/>
        </w:rPr>
      </w:pPr>
      <w:r w:rsidRPr="0015695F">
        <w:rPr>
          <w:rFonts w:ascii="Cambria" w:hAnsi="Cambria"/>
        </w:rPr>
        <w:t xml:space="preserve">Penelitian ini mengungkapkan bukti substansial bahwa aktivitas industri PT Eco Green di Pekanbaru telah berdampak negatif pada lingkungan dan kesehatan masyarakat lokal. Pengamatan lapangan dan uji laboratorium mendokumentasikan bahwa sumber air di dekat lokasi perusahaan mengandung konsentrasi bahan kimia berbahaya yang tinggi, termasuk logam berat, melebihi batas hukum yang ditetapkan oleh peraturan lingkungan Indonesia. Kesaksian yang dikumpulkan dari 87 responden, yang terdiri dari penduduk terdampak dan pemangku kepentingan lokal, semakin memperkuat temuan ini: mayoritas besar melaporkan penurunan kualitas udara yang mencolok, bau tidak sedap yang sering terjadi, dan penurunan signifikan dalam keamanan serta kegunaan sumber air untuk kebutuhan sehari-hari. Banyak responden juga menyatakan mengalami masalah kesehatan seperti gejala pernapasan, iritasi kulit, dan keluhan saluran pencernaan, yang mereka atribusikan sebagai paparan lama terhadap polutan industri. Data yang diperoleh dari badan lingkungan setempat memperkuat pengamatan ini, menunjukkan bahwa PT Eco Green berulang kali gagal mematuhi standar pengelolaan limbah dan tercatat telah melepaskan limbah yang belum diolah ke ekosistem sekitarnya selama periode bertahun-tahun. Hasil-hasil ini secara </w:t>
      </w:r>
      <w:proofErr w:type="spellStart"/>
      <w:r w:rsidRPr="0015695F">
        <w:rPr>
          <w:rFonts w:ascii="Cambria" w:hAnsi="Cambria"/>
        </w:rPr>
        <w:t>kolektif</w:t>
      </w:r>
      <w:proofErr w:type="spellEnd"/>
      <w:r w:rsidRPr="0015695F">
        <w:rPr>
          <w:rFonts w:ascii="Cambria" w:hAnsi="Cambria"/>
        </w:rPr>
        <w:t xml:space="preserve"> </w:t>
      </w:r>
      <w:proofErr w:type="spellStart"/>
      <w:r w:rsidRPr="0015695F">
        <w:rPr>
          <w:rFonts w:ascii="Cambria" w:hAnsi="Cambria"/>
        </w:rPr>
        <w:t>menunjukkan</w:t>
      </w:r>
      <w:proofErr w:type="spellEnd"/>
      <w:r w:rsidRPr="0015695F">
        <w:rPr>
          <w:rFonts w:ascii="Cambria" w:hAnsi="Cambria"/>
        </w:rPr>
        <w:t xml:space="preserve"> </w:t>
      </w:r>
      <w:proofErr w:type="spellStart"/>
      <w:r w:rsidRPr="0015695F">
        <w:rPr>
          <w:rFonts w:ascii="Cambria" w:hAnsi="Cambria"/>
        </w:rPr>
        <w:t>pola</w:t>
      </w:r>
      <w:proofErr w:type="spellEnd"/>
      <w:r w:rsidRPr="0015695F">
        <w:rPr>
          <w:rFonts w:ascii="Cambria" w:hAnsi="Cambria"/>
        </w:rPr>
        <w:t xml:space="preserve"> </w:t>
      </w:r>
      <w:proofErr w:type="spellStart"/>
      <w:r w:rsidRPr="0015695F">
        <w:rPr>
          <w:rFonts w:ascii="Cambria" w:hAnsi="Cambria"/>
        </w:rPr>
        <w:t>kerusakan</w:t>
      </w:r>
      <w:proofErr w:type="spellEnd"/>
      <w:r w:rsidRPr="0015695F">
        <w:rPr>
          <w:rFonts w:ascii="Cambria" w:hAnsi="Cambria"/>
        </w:rPr>
        <w:t xml:space="preserve"> </w:t>
      </w:r>
      <w:proofErr w:type="spellStart"/>
      <w:r w:rsidRPr="0015695F">
        <w:rPr>
          <w:rFonts w:ascii="Cambria" w:hAnsi="Cambria"/>
        </w:rPr>
        <w:t>lingkungan</w:t>
      </w:r>
      <w:proofErr w:type="spellEnd"/>
      <w:r w:rsidRPr="0015695F">
        <w:rPr>
          <w:rFonts w:ascii="Cambria" w:hAnsi="Cambria"/>
        </w:rPr>
        <w:t xml:space="preserve"> yang </w:t>
      </w:r>
      <w:proofErr w:type="spellStart"/>
      <w:r w:rsidRPr="0015695F">
        <w:rPr>
          <w:rFonts w:ascii="Cambria" w:hAnsi="Cambria"/>
        </w:rPr>
        <w:t>jelas</w:t>
      </w:r>
      <w:proofErr w:type="spellEnd"/>
      <w:r w:rsidRPr="0015695F">
        <w:rPr>
          <w:rFonts w:ascii="Cambria" w:hAnsi="Cambria"/>
        </w:rPr>
        <w:t xml:space="preserve"> </w:t>
      </w:r>
      <w:proofErr w:type="spellStart"/>
      <w:r w:rsidRPr="0015695F">
        <w:rPr>
          <w:rFonts w:ascii="Cambria" w:hAnsi="Cambria"/>
        </w:rPr>
        <w:t>terkait</w:t>
      </w:r>
      <w:proofErr w:type="spellEnd"/>
      <w:r w:rsidRPr="0015695F">
        <w:rPr>
          <w:rFonts w:ascii="Cambria" w:hAnsi="Cambria"/>
        </w:rPr>
        <w:t xml:space="preserve"> </w:t>
      </w:r>
      <w:proofErr w:type="spellStart"/>
      <w:r w:rsidRPr="0015695F">
        <w:rPr>
          <w:rFonts w:ascii="Cambria" w:hAnsi="Cambria"/>
        </w:rPr>
        <w:t>dengan</w:t>
      </w:r>
      <w:proofErr w:type="spellEnd"/>
      <w:r w:rsidRPr="0015695F">
        <w:rPr>
          <w:rFonts w:ascii="Cambria" w:hAnsi="Cambria"/>
        </w:rPr>
        <w:t xml:space="preserve"> </w:t>
      </w:r>
      <w:proofErr w:type="spellStart"/>
      <w:r w:rsidRPr="0015695F">
        <w:rPr>
          <w:rFonts w:ascii="Cambria" w:hAnsi="Cambria"/>
        </w:rPr>
        <w:t>praktik</w:t>
      </w:r>
      <w:proofErr w:type="spellEnd"/>
      <w:r w:rsidRPr="0015695F">
        <w:rPr>
          <w:rFonts w:ascii="Cambria" w:hAnsi="Cambria"/>
        </w:rPr>
        <w:t xml:space="preserve"> </w:t>
      </w:r>
      <w:proofErr w:type="spellStart"/>
      <w:r w:rsidRPr="0015695F">
        <w:rPr>
          <w:rFonts w:ascii="Cambria" w:hAnsi="Cambria"/>
        </w:rPr>
        <w:t>operasional</w:t>
      </w:r>
      <w:proofErr w:type="spellEnd"/>
      <w:r w:rsidRPr="0015695F">
        <w:rPr>
          <w:rFonts w:ascii="Cambria" w:hAnsi="Cambria"/>
        </w:rPr>
        <w:t xml:space="preserve"> </w:t>
      </w:r>
      <w:proofErr w:type="spellStart"/>
      <w:r w:rsidRPr="0015695F">
        <w:rPr>
          <w:rFonts w:ascii="Cambria" w:hAnsi="Cambria"/>
        </w:rPr>
        <w:t>perusahaan</w:t>
      </w:r>
      <w:proofErr w:type="spellEnd"/>
      <w:r w:rsidRPr="0015695F">
        <w:rPr>
          <w:rFonts w:ascii="Cambria" w:hAnsi="Cambria"/>
        </w:rPr>
        <w:t>.</w:t>
      </w:r>
    </w:p>
    <w:p w14:paraId="60D5FABC" w14:textId="43DF64EF" w:rsidR="0015695F" w:rsidRPr="0015695F" w:rsidRDefault="0015695F" w:rsidP="008007C1">
      <w:pPr>
        <w:spacing w:line="360" w:lineRule="auto"/>
        <w:jc w:val="both"/>
        <w:rPr>
          <w:rFonts w:ascii="Cambria" w:hAnsi="Cambria"/>
        </w:rPr>
      </w:pPr>
      <w:r w:rsidRPr="0015695F">
        <w:rPr>
          <w:rFonts w:ascii="Cambria" w:hAnsi="Cambria"/>
        </w:rPr>
        <w:t xml:space="preserve">Temuan studi ini menegaskan adanya ketidaksesuaian signifikan antara kerangka hukum lingkungan Indonesia dan pelaksanaannya dalam praktik, khususnya terkait pelaku korporasi seperti PT Eco Green. Meskipun terdapat regulasi komprehensif berdasarkan Undang-Undang No. 32 tahun 2009, proses penegakan menghadapi hambatan kritis, seperti kurangnya koordinasi antar lembaga, keterbatasan sumber daya teknis untuk pemantauan lingkungan, dan adanya pengaruh korporasi yang dapat memengaruhi penyelidikan dan penuntutan </w:t>
      </w:r>
      <w:r w:rsidR="008007C1">
        <w:rPr>
          <w:rFonts w:ascii="Cambria" w:hAnsi="Cambria"/>
        </w:rPr>
        <w:fldChar w:fldCharType="begin" w:fldLock="1"/>
      </w:r>
      <w:r w:rsidR="008007C1">
        <w:rPr>
          <w:rFonts w:ascii="Cambria" w:hAnsi="Cambria"/>
        </w:rPr>
        <w:instrText>ADDIN CSL_CITATION {"citationItems":[{"id":"ITEM-1","itemData":{"DOI":"10.1017/S2047102522000346","ISSN":"2047-1025","abstract":"Law – through regulation, criminalization and litigation – provides key mechanisms for mitigating the harmful effects of oil disasters. At the same time, these mechanisms also enable the perpetuation of oil disasters under an extractivist imperative. This disaster tolerance is the point of departure for this article's examination of the legal response to the 2010 Deepwater Horizon disaster over the last decade. Based on a methodology that combines a social harm approach with the political ecology of Felix Guattari, we firstly present a reconceptualization of harm inflicted by oil corporations across three registers: environment, society, and subjectivity. We subsequently introduce the concept of transversal harm, which allows us to move beyond the criminal and civil damage of corporate crime and negligence and to capture the collective and continuous impact of oil extractivism, as opposed to the exceptional impact of oil disasters. Transversal harm opens new avenues for assigning corporate responsibility and reducing disaster tolerance as the by-product of environmental law.","author":[{"dropping-particle":"","family":"Kotsakis","given":"Andreas","non-dropping-particle":"","parse-names":false,"suffix":""},{"dropping-particle":"","family":"Boukli","given":"Avi","non-dropping-particle":"","parse-names":false,"suffix":""}],"container-title":"Transnational Environmental Law","id":"ITEM-1","issue":"1","issued":{"date-parts":[["2023","3","23"]]},"note":"Cited By (since 2023): 5","page":"71-94","title":"Transversal Harm, Regulation, and the Tolerance of Oil Disasters","type":"article-journal","volume":"12"},"uris":["http://www.mendeley.com/documents/?uuid=355d8375-a7e7-42b7-a7d8-900932759678"]},{"id":"ITEM-2","itemData":{"DOI":"10.1088/1755-1315/1355/1/012004","ISBN":"1755-1307","ISSN":"1755-1307","abstract":"This paper explores the concept of ecocide as a grave crime within the framework of global environmental preservation. Amid escalating environmental concerns, the discourse on establishing ecocide as an international criminal offense gains momentum. The abstract examines the implications, challenges, and potential advantages of adopting this transformative perspective. Ecocide refers to extensive, irreversible ecological damage caused primarily by human activities. This paper delves into the rationale behind designating ecocide as a serious crime, emphasizing the need to hold individuals, corporations, and even nations responsible for actions leading to widespread environmental destruction. By legally categorizing ecocide as a crime, the international community could establish a more compelling deterrent against actions that undermine global ecological equilibrium. Nonetheless, the global implementation of ecocide as a crime presents considerable hurdles. This paper addresses challenges related to defining the scope of ecocide, differentiating it from existing environmental offenses, and establishing universally applicable prosecution criteria. Furthermore, it explores enforcement complexities given the diversity of geopolitical contexts and the varying degrees of environmental impact worldwide. The potential benefits of acknowledging ecocide as a crime are profound. It could trigger a paradigm shift in public and corporate consciousness, fostering a sense of accountability and encouraging sustainable practices. The prospect of legal consequences might incentivize innovative approaches to prevent environmental harm and facilitate restoration efforts. Additionally, it could bolster the global commitment to environmental safeguarding by placing it on par with other serious international crimes.","author":[{"dropping-particle":"","family":"Arifin","given":"R","non-dropping-particle":"","parse-names":false,"suffix":""},{"dropping-particle":"","family":"Masyhar","given":"A","non-dropping-particle":"","parse-names":false,"suffix":""},{"dropping-particle":"","family":"Wulandari","given":"C","non-dropping-particle":"","parse-names":false,"suffix":""},{"dropping-particle":"","family":"Kusuma","given":"B H","non-dropping-particle":"","parse-names":false,"suffix":""},{"dropping-particle":"","family":"Wijayanto","given":"I","non-dropping-particle":"","parse-names":false,"suffix":""},{"dropping-particle":"","family":"Rasdi","given":"","non-dropping-particle":"","parse-names":false,"suffix":""},{"dropping-particle":"","family":"Fikri","given":"S","non-dropping-particle":"","parse-names":false,"suffix":""}],"container-title":"IOP Conference Series: Earth and Environmental Science","id":"ITEM-2","issue":"1","issued":{"date-parts":[["2024","6","1"]]},"note":"Cited By (since 2024): 4","page":"012004","title":"Ecocide as the serious crime: A discourse on global environmental protection","type":"article-journal","volume":"1355"},"uris":["http://www.mendeley.com/documents/?uuid=95fb6920-3623-4d9d-a131-1a33fc42d848"]}],"mendeley":{"formattedCitation":"(Arifin et al., 2024; Kotsakis &amp; Boukli, 2023)","plainTextFormattedCitation":"(Arifin et al., 2024; Kotsakis &amp; Boukli, 2023)","previouslyFormattedCitation":"(Arifin et al., 2024; Kotsakis &amp; Boukli, 2023)"},"properties":{"noteIndex":0},"schema":"https://github.com/citation-style-language/schema/raw/master/csl-citation.json"}</w:instrText>
      </w:r>
      <w:r w:rsidR="008007C1">
        <w:rPr>
          <w:rFonts w:ascii="Cambria" w:hAnsi="Cambria"/>
        </w:rPr>
        <w:fldChar w:fldCharType="separate"/>
      </w:r>
      <w:r w:rsidR="008007C1" w:rsidRPr="008007C1">
        <w:rPr>
          <w:rFonts w:ascii="Cambria" w:hAnsi="Cambria"/>
          <w:noProof/>
        </w:rPr>
        <w:t>(Arifin et al., 2024; Kotsakis &amp; Boukli, 2023)</w:t>
      </w:r>
      <w:r w:rsidR="008007C1">
        <w:rPr>
          <w:rFonts w:ascii="Cambria" w:hAnsi="Cambria"/>
        </w:rPr>
        <w:fldChar w:fldCharType="end"/>
      </w:r>
      <w:r w:rsidRPr="0015695F">
        <w:rPr>
          <w:rFonts w:ascii="Cambria" w:hAnsi="Cambria"/>
        </w:rPr>
        <w:t xml:space="preserve">. Pelanggaran berulang perusahaan, dikombinasikan dengan laporan terus-menerus tentang dampak buruk kesehatan dan lingkungan dari komunitas terdampak, menunjukkan bahwa pengawasan regulasi dan langkah-langkah hukum pidana belum diterapkan secara efektif untuk mencegah atau mengurangi kerusakan lingkungan </w:t>
      </w:r>
      <w:r w:rsidR="008007C1">
        <w:rPr>
          <w:rFonts w:ascii="Cambria" w:hAnsi="Cambria"/>
        </w:rPr>
        <w:fldChar w:fldCharType="begin" w:fldLock="1"/>
      </w:r>
      <w:r w:rsidR="008007C1">
        <w:rPr>
          <w:rFonts w:ascii="Cambria" w:hAnsi="Cambria"/>
        </w:rPr>
        <w:instrText>ADDIN CSL_CITATION {"citationItems":[{"id":"ITEM-1","itemData":{"DOI":"10.20956/halrev.v8i2.3187","ISSN":"2442-9899","abstract":"Environmental harms are frequently part and parcel of ordinary commercial practice. This study aimed to highlight the importance of applying imprisonment as a corporate criminal sanction in forestry crimes to observe and consider individual and far-reaching victims. Forest crimes impact the community’s socio-cultural life and cause environmental damage by increasing global warming. Based on the laws and regulations, fines as criminal sanctions do not effectively deter corporations. Subsequently, imprisonment could be an alternative criminal sanction against corporations through identification where corporate liability could be identified through its management. Actions taken by the management are not based on their rights and authorities but those of the corporations. Therefore, imprisonment and other sanctions such as restitution are expected to effectively and viably address forestry crimes.","author":[{"dropping-particle":"","family":"Hafrida","given":"Hafrida","non-dropping-particle":"","parse-names":false,"suffix":""},{"dropping-particle":"","family":"Kusniati","given":"Retno","non-dropping-particle":"","parse-names":false,"suffix":""},{"dropping-particle":"","family":"Monita","given":"Yulia","non-dropping-particle":"","parse-names":false,"suffix":""}],"container-title":"Hasanuddin Law Review","id":"ITEM-1","issue":"2","issued":{"date-parts":[["2022","7","30"]]},"note":"Cited By (since 2022): 4","page":"160","title":"Imprisonment as a Criminal Sanction against Corporations in Forestry Crimes: How Is It Possible?","type":"article-journal","volume":"8"},"uris":["http://www.mendeley.com/documents/?uuid=c9a43c89-a65c-4fe7-9605-acaf2989f713"]},{"id":"ITEM-2","itemData":{"DOI":"10.24090/volksgeist.v8i1.13114","ISSN":"2615-5648","abstract":"Indonesia’s shift from criminal to administrative sanctions in addressing illegal use of forest areas—stipulated under Articles 110A and 110B of Law No. 6 of 2023—aims to legalize approximately 3.3 million hectares of unlicensed oil palm plantations. This study evaluates the effectiveness of administrative sanctions in promoting legal compliance and environmental accountability. Employing a normative legal research method with a descriptive qualitative approach, the study examines statutory frameworks, case studies, and empirical data from the Ministry of Environment and Forestry (MoEF). Findings reveal that while administrative sanctions offer expedited enforcement and reduce judicial burdens, they risk becoming legal loopholes exploited by corporations. The limited number of sanctioned companies—only 49—and the total fines of IDR 175.5 billion are disproportionately low relative to the scale of ecological damage. Nevertheless, the research highlights the potential of a hybrid enforcement model—integrating administrative, criminal, and civil legal instruments—to enhance compliance and ecological justice. It underscores the urgency of robust oversight and the application of criminal sanctions in severe cases to uphold the constitutional right to a healthy environment.","author":[{"dropping-particle":"","family":"Maskun","given":"Maskun","non-dropping-particle":"","parse-names":false,"suffix":""},{"dropping-particle":"","family":"Violetta","given":"Kiky Venna","non-dropping-particle":"","parse-names":false,"suffix":""},{"dropping-particle":"","family":"Mukhlis","given":"Muhammad Mutawalli","non-dropping-particle":"","parse-names":false,"suffix":""},{"dropping-particle":"","family":"Normiati","given":"Normiati","non-dropping-particle":"","parse-names":false,"suffix":""},{"dropping-particle":"","family":"Tajuddin","given":"Muhammad Saleh","non-dropping-particle":"","parse-names":false,"suffix":""}],"container-title":"Volksgeist: Jurnal Ilmu Hukum dan Konstitusi","id":"ITEM-2","issue":"1","issued":{"date-parts":[["2025","5","26"]]},"note":"Cited By (since 2025): 3","page":"171-190","title":"The Dilemma of Administrative Sanctions in Legalizing Palm Oil Plantations in Indonesian Forest Areas","type":"article-journal","volume":"8"},"uris":["http://www.mendeley.com/documents/?uuid=5177284a-b641-4ed8-8a9f-c753f84b0e96"]}],"mendeley":{"formattedCitation":"(Hafrida et al., 2022; Maskun et al., 2025)","plainTextFormattedCitation":"(Hafrida et al., 2022; Maskun et al., 2025)","previouslyFormattedCitation":"(Hafrida et al., 2022; Maskun et al., 2025)"},"properties":{"noteIndex":0},"schema":"https://github.com/citation-style-language/schema/raw/master/csl-citation.json"}</w:instrText>
      </w:r>
      <w:r w:rsidR="008007C1">
        <w:rPr>
          <w:rFonts w:ascii="Cambria" w:hAnsi="Cambria"/>
        </w:rPr>
        <w:fldChar w:fldCharType="separate"/>
      </w:r>
      <w:r w:rsidR="008007C1" w:rsidRPr="008007C1">
        <w:rPr>
          <w:rFonts w:ascii="Cambria" w:hAnsi="Cambria"/>
          <w:noProof/>
        </w:rPr>
        <w:t>(Hafrida et al., 2022; Maskun et al., 2025)</w:t>
      </w:r>
      <w:r w:rsidR="008007C1">
        <w:rPr>
          <w:rFonts w:ascii="Cambria" w:hAnsi="Cambria"/>
        </w:rPr>
        <w:fldChar w:fldCharType="end"/>
      </w:r>
      <w:r w:rsidRPr="0015695F">
        <w:rPr>
          <w:rFonts w:ascii="Cambria" w:hAnsi="Cambria"/>
        </w:rPr>
        <w:t xml:space="preserve">. Situasi ini menyoroti kebutuhan mendesak akan reformasi sistemik, termasuk kolaborasi investigasi yang lebih kuat, penyediaan peralatan teknis yang memadai kepada badan regulasi, dan keterlibatan komunitas yang lebih besar dalam pelaporan dan pemantauan pelanggaran </w:t>
      </w:r>
      <w:r w:rsidR="008007C1">
        <w:rPr>
          <w:rFonts w:ascii="Cambria" w:hAnsi="Cambria"/>
        </w:rPr>
        <w:fldChar w:fldCharType="begin" w:fldLock="1"/>
      </w:r>
      <w:r w:rsidR="00FE2339">
        <w:rPr>
          <w:rFonts w:ascii="Cambria" w:hAnsi="Cambria"/>
        </w:rPr>
        <w:instrText>ADDIN CSL_CITATION {"citationItems":[{"id":"ITEM-1","itemData":{"DOI":"10.1007/978-3-031-58835-8","ISBN":"978-3-031-58834-1","author":[{"dropping-particle":"","family":"Gottschalk","given":"Petter","non-dropping-particle":"","parse-names":false,"suffix":""},{"dropping-particle":"","family":"Hamerton","given":"Christopher","non-dropping-particle":"","parse-names":false,"suffix":""}],"container-title":"Corporate Crisis Recovery Managing Organizational Deviance Reputation and Risk","id":"ITEM-1","issued":{"date-parts":[["2024"]]},"note":"Cited By (since 2024): 1","number-of-pages":"1-324","publisher":"Springer Nature Switzerland","publisher-place":"Cham","title":"Corporate Crisis Recovery","type":"book"},"uris":["http://www.mendeley.com/documents/?uuid=b62a1004-278d-455a-9a84-31dcd2fb9a45"]},{"id":"ITEM-2","itemData":{"DOI":"10.1108/978-1-83797-328-620241011","author":[{"dropping-particle":"","family":"Vegh Weis","given":"Valeria","non-dropping-particle":"","parse-names":false,"suffix":""}],"container-title":"Punishment in Latin America: Explorations from the Margins","id":"ITEM-2","issued":{"date-parts":[["2024","11","21"]]},"note":"Cited By (since 2024): 1","page":"201-218","publisher":"Emerald Publishing Limited","title":"Southern Green Victimology: A Look at the Cycle of Environmental Harms, Resistance and Over-criminalisation","type":"chapter"},"uris":["http://www.mendeley.com/documents/?uuid=bec60f89-7e7f-4822-9df4-e41396e7da42"]}],"mendeley":{"formattedCitation":"(Gottschalk &amp; Hamerton, 2024; Vegh Weis, 2024)","plainTextFormattedCitation":"(Gottschalk &amp; Hamerton, 2024; Vegh Weis, 2024)","previouslyFormattedCitation":"(Gottschalk &amp; Hamerton, 2024; Vegh Weis, 2024)"},"properties":{"noteIndex":0},"schema":"https://github.com/citation-style-language/schema/raw/master/csl-citation.json"}</w:instrText>
      </w:r>
      <w:r w:rsidR="008007C1">
        <w:rPr>
          <w:rFonts w:ascii="Cambria" w:hAnsi="Cambria"/>
        </w:rPr>
        <w:fldChar w:fldCharType="separate"/>
      </w:r>
      <w:r w:rsidR="008007C1" w:rsidRPr="008007C1">
        <w:rPr>
          <w:rFonts w:ascii="Cambria" w:hAnsi="Cambria"/>
          <w:noProof/>
        </w:rPr>
        <w:t>(Gottschalk &amp; Hamerton, 2024; Vegh Weis, 2024)</w:t>
      </w:r>
      <w:r w:rsidR="008007C1">
        <w:rPr>
          <w:rFonts w:ascii="Cambria" w:hAnsi="Cambria"/>
        </w:rPr>
        <w:fldChar w:fldCharType="end"/>
      </w:r>
      <w:r w:rsidRPr="0015695F">
        <w:rPr>
          <w:rFonts w:ascii="Cambria" w:hAnsi="Cambria"/>
        </w:rPr>
        <w:t xml:space="preserve">. Tanpa perbaikan tersebut, ketentuan </w:t>
      </w:r>
      <w:r w:rsidRPr="0015695F">
        <w:rPr>
          <w:rFonts w:ascii="Cambria" w:hAnsi="Cambria"/>
        </w:rPr>
        <w:lastRenderedPageBreak/>
        <w:t xml:space="preserve">hukum yang dimaksudkan untuk menuntut pertanggungjawaban pidana korporasi atas polusi berisiko menjadi tidak efektif, sehingga memperpanjang </w:t>
      </w:r>
      <w:proofErr w:type="spellStart"/>
      <w:r w:rsidRPr="0015695F">
        <w:rPr>
          <w:rFonts w:ascii="Cambria" w:hAnsi="Cambria"/>
        </w:rPr>
        <w:t>kerusakan</w:t>
      </w:r>
      <w:proofErr w:type="spellEnd"/>
      <w:r w:rsidRPr="0015695F">
        <w:rPr>
          <w:rFonts w:ascii="Cambria" w:hAnsi="Cambria"/>
        </w:rPr>
        <w:t xml:space="preserve"> </w:t>
      </w:r>
      <w:proofErr w:type="spellStart"/>
      <w:r w:rsidRPr="0015695F">
        <w:rPr>
          <w:rFonts w:ascii="Cambria" w:hAnsi="Cambria"/>
        </w:rPr>
        <w:t>lingkungan</w:t>
      </w:r>
      <w:proofErr w:type="spellEnd"/>
      <w:r w:rsidRPr="0015695F">
        <w:rPr>
          <w:rFonts w:ascii="Cambria" w:hAnsi="Cambria"/>
        </w:rPr>
        <w:t xml:space="preserve"> dan </w:t>
      </w:r>
      <w:proofErr w:type="spellStart"/>
      <w:r w:rsidRPr="0015695F">
        <w:rPr>
          <w:rFonts w:ascii="Cambria" w:hAnsi="Cambria"/>
        </w:rPr>
        <w:t>merusak</w:t>
      </w:r>
      <w:proofErr w:type="spellEnd"/>
      <w:r w:rsidRPr="0015695F">
        <w:rPr>
          <w:rFonts w:ascii="Cambria" w:hAnsi="Cambria"/>
        </w:rPr>
        <w:t xml:space="preserve"> </w:t>
      </w:r>
      <w:proofErr w:type="spellStart"/>
      <w:r w:rsidRPr="0015695F">
        <w:rPr>
          <w:rFonts w:ascii="Cambria" w:hAnsi="Cambria"/>
        </w:rPr>
        <w:t>kesehatan</w:t>
      </w:r>
      <w:proofErr w:type="spellEnd"/>
      <w:r w:rsidRPr="0015695F">
        <w:rPr>
          <w:rFonts w:ascii="Cambria" w:hAnsi="Cambria"/>
        </w:rPr>
        <w:t xml:space="preserve"> </w:t>
      </w:r>
      <w:proofErr w:type="spellStart"/>
      <w:r w:rsidRPr="0015695F">
        <w:rPr>
          <w:rFonts w:ascii="Cambria" w:hAnsi="Cambria"/>
        </w:rPr>
        <w:t>masyarakat</w:t>
      </w:r>
      <w:proofErr w:type="spellEnd"/>
      <w:r w:rsidRPr="0015695F">
        <w:rPr>
          <w:rFonts w:ascii="Cambria" w:hAnsi="Cambria"/>
        </w:rPr>
        <w:t xml:space="preserve"> di wilayah </w:t>
      </w:r>
      <w:proofErr w:type="spellStart"/>
      <w:r w:rsidRPr="0015695F">
        <w:rPr>
          <w:rFonts w:ascii="Cambria" w:hAnsi="Cambria"/>
        </w:rPr>
        <w:t>seperti</w:t>
      </w:r>
      <w:proofErr w:type="spellEnd"/>
      <w:r w:rsidRPr="0015695F">
        <w:rPr>
          <w:rFonts w:ascii="Cambria" w:hAnsi="Cambria"/>
        </w:rPr>
        <w:t xml:space="preserve"> </w:t>
      </w:r>
      <w:proofErr w:type="spellStart"/>
      <w:r w:rsidRPr="0015695F">
        <w:rPr>
          <w:rFonts w:ascii="Cambria" w:hAnsi="Cambria"/>
        </w:rPr>
        <w:t>Pekanbaru</w:t>
      </w:r>
      <w:proofErr w:type="spellEnd"/>
      <w:r w:rsidRPr="0015695F">
        <w:rPr>
          <w:rFonts w:ascii="Cambria" w:hAnsi="Cambria"/>
        </w:rPr>
        <w:t>.</w:t>
      </w:r>
    </w:p>
    <w:p w14:paraId="0C9C1BDF" w14:textId="0154A716" w:rsidR="0069072D" w:rsidRPr="0069072D" w:rsidRDefault="0015695F" w:rsidP="0069072D">
      <w:pPr>
        <w:tabs>
          <w:tab w:val="left" w:pos="2940"/>
        </w:tabs>
        <w:jc w:val="both"/>
        <w:rPr>
          <w:rFonts w:ascii="Cambria" w:hAnsi="Cambria"/>
          <w:b/>
          <w:bCs/>
        </w:rPr>
      </w:pPr>
      <w:r w:rsidRPr="0015695F">
        <w:rPr>
          <w:rFonts w:ascii="Cambria" w:hAnsi="Cambria"/>
          <w:b/>
          <w:bCs/>
        </w:rPr>
        <w:t>Analisis Hukum</w:t>
      </w:r>
    </w:p>
    <w:p w14:paraId="07472F42" w14:textId="5815E79D" w:rsidR="0015695F" w:rsidRPr="0015695F" w:rsidRDefault="0015695F" w:rsidP="0015695F">
      <w:pPr>
        <w:tabs>
          <w:tab w:val="left" w:pos="2940"/>
        </w:tabs>
        <w:spacing w:line="360" w:lineRule="auto"/>
        <w:jc w:val="both"/>
        <w:rPr>
          <w:rFonts w:ascii="Cambria" w:hAnsi="Cambria"/>
        </w:rPr>
      </w:pPr>
      <w:r w:rsidRPr="0015695F">
        <w:rPr>
          <w:rFonts w:ascii="Cambria" w:hAnsi="Cambria"/>
        </w:rPr>
        <w:t xml:space="preserve">Tanggung jawab hukum PT Eco Green terhadap pencemaran lingkungan di Pekanbaru harus diperiksa dalam kerangka undang-undang lingkungan Indonesia, khususnya Undang-Undang No. 32 tahun 2009 tentang Perlindungan dan Pengelolaan Lingkungan serta ketentuan pidana terkait yang diperkenalkan oleh undang-undang berikutnya </w:t>
      </w:r>
      <w:r w:rsidR="00FE2339">
        <w:rPr>
          <w:rFonts w:ascii="Cambria" w:hAnsi="Cambria"/>
        </w:rPr>
        <w:fldChar w:fldCharType="begin" w:fldLock="1"/>
      </w:r>
      <w:r w:rsidR="00FE2339">
        <w:rPr>
          <w:rFonts w:ascii="Cambria" w:hAnsi="Cambria"/>
        </w:rPr>
        <w:instrText>ADDIN CSL_CITATION {"citationItems":[{"id":"ITEM-1","itemData":{"DOI":"10.18623/rvd.v21.2706-ing","ISSN":"21798699","author":[{"dropping-particle":"","family":"Ribeiro","given":"L G G","non-dropping-particle":"","parse-names":false,"suffix":""}],"container-title":"Veredas do Direito Direito Ambiental e Desenvolvimento Sustentável","id":"ITEM-1","issued":{"date-parts":[["2024","10","11"]]},"title":"Dialogues Between Green Criminology, Criminal Law, And Enviromentalnviromental Protection : Expanding The Object Of Criminology And What Criminal Law Can Offer","type":"article-journal","volume":"21"},"uris":["http://www.mendeley.com/documents/?uuid=0e28bb61-6ab7-4a4e-82d5-d9f8a3c8b147"]},{"id":"ITEM-2","itemData":{"DOI":"10.4324/9781003402534-7","author":[{"dropping-particle":"","family":"Kyriakakis","given":"Joanna","non-dropping-particle":"","parse-names":false,"suffix":""}],"container-title":"Evil Corporations","id":"ITEM-2","issued":{"date-parts":[["2024","5","23"]]},"page":"63-77","publisher":"Routledge","publisher-place":"London","title":"Ecocide, Evil and the Corporation","type":"chapter"},"uris":["http://www.mendeley.com/documents/?uuid=64e9b279-37f7-4029-b0a6-f556e8c61712"]}],"mendeley":{"formattedCitation":"(Kyriakakis, 2024; Ribeiro, 2024)","plainTextFormattedCitation":"(Kyriakakis, 2024; Ribeiro, 2024)","previouslyFormattedCitation":"(Kyriakakis, 2024; Ribeiro, 2024)"},"properties":{"noteIndex":0},"schema":"https://github.com/citation-style-language/schema/raw/master/csl-citation.json"}</w:instrText>
      </w:r>
      <w:r w:rsidR="00FE2339">
        <w:rPr>
          <w:rFonts w:ascii="Cambria" w:hAnsi="Cambria"/>
        </w:rPr>
        <w:fldChar w:fldCharType="separate"/>
      </w:r>
      <w:r w:rsidR="00FE2339" w:rsidRPr="00FE2339">
        <w:rPr>
          <w:rFonts w:ascii="Cambria" w:hAnsi="Cambria"/>
          <w:noProof/>
        </w:rPr>
        <w:t>(Kyriakakis, 2024; Ribeiro, 2024)</w:t>
      </w:r>
      <w:r w:rsidR="00FE2339">
        <w:rPr>
          <w:rFonts w:ascii="Cambria" w:hAnsi="Cambria"/>
        </w:rPr>
        <w:fldChar w:fldCharType="end"/>
      </w:r>
      <w:r w:rsidRPr="0015695F">
        <w:rPr>
          <w:rFonts w:ascii="Cambria" w:hAnsi="Cambria"/>
        </w:rPr>
        <w:t xml:space="preserve">. Prinsip inti yang ditetapkan oleh undang-undang ini adalah bahwa baik orang perseorangan maupun badan hukum, termasuk korporasi, dapat dikenai sanksi pidana atas tindakan atau kelalaian yang mengakibatkan kerusakan lingkungan yang melanggar hukum </w:t>
      </w:r>
      <w:r w:rsidR="00FE2339">
        <w:rPr>
          <w:rFonts w:ascii="Cambria" w:hAnsi="Cambria"/>
        </w:rPr>
        <w:fldChar w:fldCharType="begin" w:fldLock="1"/>
      </w:r>
      <w:r w:rsidR="00FE2339">
        <w:rPr>
          <w:rFonts w:ascii="Cambria" w:hAnsi="Cambria"/>
        </w:rPr>
        <w:instrText>ADDIN CSL_CITATION {"citationItems":[{"id":"ITEM-1","itemData":{"DOI":"10.19109/nurani.v24i1.23115","ISSN":"2460-9102","abstract":"The application of the precautionary principle in enforcing forestry law in Indonesia is a very important principle for protecting forests and the environment. This precautionary principle emphasizes efforts to prevent environmental damage and avoid irreversible risks. This research aims to analyze the application of the Precautionary Principle in Forestry Criminal Law Enforcement carried out by Corporations from the perspective of juridical jurisprudence and the environment. This research employs normative legal methods using various approaches, including the environmental fiqh approach, statutory approach, conceptual approach, case approach, and comparative approach. Implementation of the Precautionary Principle in the context of forestry crime cases involving corporations can be realized through the application of the principle of strict responsibility. The government has issued Law Number 18 of 2013 concerning Prevention and Eradication of Forest Destruction (P3H) as a step to improve Law Number 41 of 1999 concerning Forestry. Judges who handle cases against companies that violate Law Number 18 of 2013 concerning Prevention and Eradication of Forest Destruction (P3H) must consider the existing situation and conditions, taking into account the level of damage that has occurred and the impact of forest damage caused by the corporation. From an environmental fiqh perspective, the precautionary principle is in line with the concept of preserving nature (hifz al-bi'ah) which is part of maqasid al-shariah (goals of sharia). This research suggests increasing the capacity of law enforcement through training and outreach regarding the precautionary principle, as well as closer integration between positive law and environmental fiqh values ​​within the framework of forestry criminal law.","author":[{"dropping-particle":"","family":"Mangkunegara","given":"RM. Armaya","non-dropping-particle":"","parse-names":false,"suffix":""}],"container-title":"Nurani: Jurnal Kajian Syari'ah dan Masyarakat","id":"ITEM-1","issue":"1","issued":{"date-parts":[["2024","6","30"]]},"page":"235-252","title":"Juridical Analysis of Forestry Criminal Law Enforcement by Corporations in Environmental Fiqh Framework","type":"article-journal","volume":"24"},"uris":["http://www.mendeley.com/documents/?uuid=6885f57f-ad0e-4224-b161-259d732d1142"]},{"id":"ITEM-2","itemData":{"DOI":"10.4337/9781803920719","ISBN":"9781803920719","author":[{"dropping-particle":"","family":"Rudall","given":"Jason","non-dropping-particle":"","parse-names":false,"suffix":""}],"container-title":"Responsibility for Environmental Damage","id":"ITEM-2","issued":{"date-parts":[["2024","4","23"]]},"number-of-pages":"1-345","publisher":"Edward Elgar Publishing","title":"Responsibility for Environmental Damage","type":"book"},"uris":["http://www.mendeley.com/documents/?uuid=deb82250-b907-4269-9457-58bf26ddc057"]}],"mendeley":{"formattedCitation":"(Mangkunegara, 2024; Rudall, 2024)","plainTextFormattedCitation":"(Mangkunegara, 2024; Rudall, 2024)","previouslyFormattedCitation":"(Mangkunegara, 2024; Rudall, 2024)"},"properties":{"noteIndex":0},"schema":"https://github.com/citation-style-language/schema/raw/master/csl-citation.json"}</w:instrText>
      </w:r>
      <w:r w:rsidR="00FE2339">
        <w:rPr>
          <w:rFonts w:ascii="Cambria" w:hAnsi="Cambria"/>
        </w:rPr>
        <w:fldChar w:fldCharType="separate"/>
      </w:r>
      <w:r w:rsidR="00FE2339" w:rsidRPr="00FE2339">
        <w:rPr>
          <w:rFonts w:ascii="Cambria" w:hAnsi="Cambria"/>
          <w:noProof/>
        </w:rPr>
        <w:t>(Mangkunegara, 2024; Rudall, 2024)</w:t>
      </w:r>
      <w:r w:rsidR="00FE2339">
        <w:rPr>
          <w:rFonts w:ascii="Cambria" w:hAnsi="Cambria"/>
        </w:rPr>
        <w:fldChar w:fldCharType="end"/>
      </w:r>
      <w:r w:rsidRPr="0015695F">
        <w:rPr>
          <w:rFonts w:ascii="Cambria" w:hAnsi="Cambria"/>
        </w:rPr>
        <w:t xml:space="preserve">. Pasal 98 Undang-Undang No. 32 tahun 2009, khususnya, menetapkan bahwa setiap pihak yang sengaja melakukan aktivitas yang melebihi standar ambang batas pembuangan limbah dan dengan demikian menyebabkan kerusakan lingkungan atau kesehatan masyarakat dapat dituntut dan dikenai sanksi </w:t>
      </w:r>
      <w:r w:rsidR="00FE2339">
        <w:rPr>
          <w:rFonts w:ascii="Cambria" w:hAnsi="Cambria"/>
        </w:rPr>
        <w:fldChar w:fldCharType="begin" w:fldLock="1"/>
      </w:r>
      <w:r w:rsidR="00FE2339">
        <w:rPr>
          <w:rFonts w:ascii="Cambria" w:hAnsi="Cambria"/>
        </w:rPr>
        <w:instrText>ADDIN CSL_CITATION {"citationItems":[{"id":"ITEM-1","itemData":{"DOI":"10.56371/jirpl.v5i3.274","ISSN":"2715-498X","abstract":"Environmental law is a set of regulations that regulate the protection and management of the environment. Environmental protection and management is a systematic and integrated effort carried out to preserve environmental functions and prevent environmental pollution and/or damage through structuring, utilization, control, maintenance, supervision and law enforcement.The problems in this journal are:What is the criminal responsibility of corporations as perpetrators of criminal acts of environmental pollution and how?efforts to overcome environmental pollution resulting from criminal acts of environmental pollution committed by corporations.The research method was carried out by methodnormative legal research/normative juridical legal research. This research was conducted to identify the application of corporate criminal responsibility teachings in criminal law enforcement. Based on this research, it can be understood that corporate criminal acts in the environmental sector have widespread and complex negative impacts so that they not only cause direct losses to society and the environment but also disrupt the financial and economic stability of the country, considering that environmental criminal acts are carried out with economic motives. The impact on society includes material losses, health and safety problems, and social and moral losses, namely damage to public trust in business behavior. Administrative environmental law functions to resolve the problem of their actions (environmental pollution), civil environmental law functions to provide legal protection to victims of pollution, and criminal environmental law functions to resolve the problem of polluters (perpetrators of pollution).","author":[{"dropping-particle":"","family":"Setiawan","given":"Deny","non-dropping-particle":"","parse-names":false,"suffix":""},{"dropping-particle":"","family":"Marbun","given":"Warasman","non-dropping-particle":"","parse-names":false,"suffix":""},{"dropping-particle":"","family":"Patramijaya","given":"Arief","non-dropping-particle":"","parse-names":false,"suffix":""}],"container-title":"JILPR Journal Indonesia Law and Policy Review","id":"ITEM-1","issue":"3","issued":{"date-parts":[["2024","6","29"]]},"note":"Cited By (since 2024): 4","page":"511-520","publisher":"ejournal.aissrd.org","title":"Corporate Criminal Liability In Enviromental Pollution Crimes","type":"article-journal","volume":"5"},"uris":["http://www.mendeley.com/documents/?uuid=b19be343-5681-48b3-a4c4-dcbedcb461c2"]}],"mendeley":{"formattedCitation":"(Setiawan et al., 2024)","plainTextFormattedCitation":"(Setiawan et al., 2024)","previouslyFormattedCitation":"(Setiawan et al., 2024)"},"properties":{"noteIndex":0},"schema":"https://github.com/citation-style-language/schema/raw/master/csl-citation.json"}</w:instrText>
      </w:r>
      <w:r w:rsidR="00FE2339">
        <w:rPr>
          <w:rFonts w:ascii="Cambria" w:hAnsi="Cambria"/>
        </w:rPr>
        <w:fldChar w:fldCharType="separate"/>
      </w:r>
      <w:r w:rsidR="00FE2339" w:rsidRPr="00FE2339">
        <w:rPr>
          <w:rFonts w:ascii="Cambria" w:hAnsi="Cambria"/>
          <w:noProof/>
        </w:rPr>
        <w:t>(Setiawan et al., 2024)</w:t>
      </w:r>
      <w:r w:rsidR="00FE2339">
        <w:rPr>
          <w:rFonts w:ascii="Cambria" w:hAnsi="Cambria"/>
        </w:rPr>
        <w:fldChar w:fldCharType="end"/>
      </w:r>
      <w:r w:rsidRPr="0015695F">
        <w:rPr>
          <w:rFonts w:ascii="Cambria" w:hAnsi="Cambria"/>
        </w:rPr>
        <w:t xml:space="preserve">. Undang-undang ini juga membedakan antara tindakan sengaja dan kelalaian, memastikan bahwa perilaku sembrono yang menyebabkan pencemaran juga tunduk pada tanggung jawab, bahkan tanpa niat yang terbukti </w:t>
      </w:r>
      <w:r w:rsidR="00FE2339">
        <w:rPr>
          <w:rFonts w:ascii="Cambria" w:hAnsi="Cambria"/>
        </w:rPr>
        <w:fldChar w:fldCharType="begin" w:fldLock="1"/>
      </w:r>
      <w:r w:rsidR="00FE2339">
        <w:rPr>
          <w:rFonts w:ascii="Cambria" w:hAnsi="Cambria"/>
        </w:rPr>
        <w:instrText>ADDIN CSL_CITATION {"citationItems":[{"id":"ITEM-1","itemData":{"DOI":"10.1146/annurev-criminol-030920-114647","ISSN":"2572-4568","abstract":"Green criminology has developed into a criminological subfield with a substantial literature. That literature is so vast that a single review cannot do it justice. This article examines the definition of green crime, the historical development of green criminology, some major areas of green criminological research, and potential future developments. Unlike traditional criminology with its focus on human victims, green criminology recognizes that various living entities can be victims of the ways in which humans harm ecosystems. Green research thus explores crime, victimization, and justice from several theoretical positions that acknowledge these unique victims. Although green criminology contains several approaches, this review primarily focuses on political economic green criminology. The section titled The Definition, Overview, and Historical Development of Green Criminology identifies, but does not review in depth, other forms of green criminology.","author":[{"dropping-particle":"","family":"Lynch","given":"Michael J","non-dropping-particle":"","parse-names":false,"suffix":""},{"dropping-particle":"","family":"Long","given":"Michael A","non-dropping-particle":"","parse-names":false,"suffix":""}],"container-title":"Annual Review of Criminology","id":"ITEM-1","issue":"1","issued":{"date-parts":[["2022","1","13"]]},"note":"Cited By (since 2022): 76","page":"255-276","publisher":"annualreviews.org","title":"Green Criminology: Capitalism, Green Crime and Justice, and Environmental Destruction","type":"article-journal","volume":"5"},"uris":["http://www.mendeley.com/documents/?uuid=1968234a-bc79-4902-930b-8e38764bf322"]}],"mendeley":{"formattedCitation":"(Lynch &amp; Long, 2022)","plainTextFormattedCitation":"(Lynch &amp; Long, 2022)","previouslyFormattedCitation":"(Lynch &amp; Long, 2022)"},"properties":{"noteIndex":0},"schema":"https://github.com/citation-style-language/schema/raw/master/csl-citation.json"}</w:instrText>
      </w:r>
      <w:r w:rsidR="00FE2339">
        <w:rPr>
          <w:rFonts w:ascii="Cambria" w:hAnsi="Cambria"/>
        </w:rPr>
        <w:fldChar w:fldCharType="separate"/>
      </w:r>
      <w:r w:rsidR="00FE2339" w:rsidRPr="00FE2339">
        <w:rPr>
          <w:rFonts w:ascii="Cambria" w:hAnsi="Cambria"/>
          <w:noProof/>
        </w:rPr>
        <w:t>(Lynch &amp; Long, 2022)</w:t>
      </w:r>
      <w:r w:rsidR="00FE2339">
        <w:rPr>
          <w:rFonts w:ascii="Cambria" w:hAnsi="Cambria"/>
        </w:rPr>
        <w:fldChar w:fldCharType="end"/>
      </w:r>
      <w:r w:rsidRPr="0015695F">
        <w:rPr>
          <w:rFonts w:ascii="Cambria" w:hAnsi="Cambria"/>
        </w:rPr>
        <w:t xml:space="preserve">. </w:t>
      </w:r>
    </w:p>
    <w:p w14:paraId="20122FCF" w14:textId="3889E722" w:rsidR="0015695F" w:rsidRPr="0015695F" w:rsidRDefault="0015695F" w:rsidP="0015695F">
      <w:pPr>
        <w:tabs>
          <w:tab w:val="left" w:pos="2940"/>
        </w:tabs>
        <w:spacing w:line="360" w:lineRule="auto"/>
        <w:jc w:val="both"/>
        <w:rPr>
          <w:rFonts w:ascii="Cambria" w:hAnsi="Cambria"/>
        </w:rPr>
      </w:pPr>
      <w:r w:rsidRPr="0015695F">
        <w:rPr>
          <w:rFonts w:ascii="Cambria" w:hAnsi="Cambria"/>
        </w:rPr>
        <w:t xml:space="preserve">Dalam menerapkan regulasi ini pada kasus PT Eco Green, bukti yang dikumpulkan dari penelitian lapangan dan pemantauan lingkungan resmi menunjukkan bahwa praktik pengelolaan limbah industri perusahaan berulang kali gagal memenuhi standar yang diperlukan </w:t>
      </w:r>
      <w:r w:rsidR="00FE2339">
        <w:rPr>
          <w:rFonts w:ascii="Cambria" w:hAnsi="Cambria"/>
        </w:rPr>
        <w:fldChar w:fldCharType="begin" w:fldLock="1"/>
      </w:r>
      <w:r w:rsidR="00FE2339">
        <w:rPr>
          <w:rFonts w:ascii="Cambria" w:hAnsi="Cambria"/>
        </w:rPr>
        <w:instrText>ADDIN CSL_CITATION {"citationItems":[{"id":"ITEM-1","itemData":{"DOI":"10.51952/9781529241884.ch004","abstract":"… and private corporations in a joint criminal enterprise, often … has brought humanity to the current environmental brink. It is … in the forest would create environmental damage and so they …","author":[{"dropping-particle":"","family":"Castellino","given":"Joshua","non-dropping-particle":"","parse-names":false,"suffix":""}],"container-title":"Calibrating Colonial Crime","id":"ITEM-1","issued":{"date-parts":[["2024","7","4"]]},"note":"Cited By (since 2024): 15","page":"97-119","publisher":"Bristol University Press","title":"Colonial Crime, Environmental Destruction and Indigenous Peoples: A Roadmap to Accountability and Protection","type":"chapter"},"uris":["http://www.mendeley.com/documents/?uuid=ba9872f5-7f3c-403f-94fd-fcb8aa731b68"]},{"id":"ITEM-2","itemData":{"DOI":"10.3233/EPL-210024","ISSN":"0378777X","abstract":"The enforcement of environmental law in Indonesia shows a contradictory nature. The exploitation of natural resources by corporations has caused unparalleled disasters. Yet, the perpetrators, especially those corporations who work in collective, are rarely able to be persecuted. This research aims to examine the obstacles to environmental law enforcement in Indonesia and analyze the ideal environmental law enforcement model for future use. This research uses a qualitative approach which examines the concepts related to the ideal law enforcement for the future (ius constituendum). Our examination finds that there are three main obstacles in enforcing environmental law in Indonesia: the inability to deal with corporations which have strong political backing, overlapping authorities in the process of crime investigation, and difficulties faced by law enforcement officers in finding evidence. In light of these findings, we propose a model of legal protection for victims of pollution and/ or environmental destruction using the principle of restorative justice. In this model, judges can represent facilitators from the state for the initial stage. The value of this model is that rather than only pursuing punishment for the perpetrators, it shifts the focus towards providing compensation for the victims by the perpetrators.","author":[{"dropping-particle":"","family":"Abdurrachman","given":"Hamidah","non-dropping-particle":"","parse-names":false,"suffix":""},{"dropping-particle":"","family":"Hamzani","given":"Achmad Irwan","non-dropping-particle":"","parse-names":false,"suffix":""},{"dropping-particle":"","family":"Mariyono","given":"Joko","non-dropping-particle":"","parse-names":false,"suffix":""}],"container-title":"Environmental Policy and Law","id":"ITEM-2","issue":"6","issued":{"date-parts":[["2021","12","22"]]},"note":"Cited By (since 2021): 12","page":"409-416","publisher":"journals.sagepub.com","title":"Environmental Crime and Law Enforcement in Indonesia: Some Reflections on Counterproductive Approaches","type":"article-journal","volume":"51"},"uris":["http://www.mendeley.com/documents/?uuid=0332e4ad-aede-4b56-a2bd-e076d2367777"]}],"mendeley":{"formattedCitation":"(Abdurrachman et al., 2021; Castellino, 2024)","plainTextFormattedCitation":"(Abdurrachman et al., 2021; Castellino, 2024)","previouslyFormattedCitation":"(Abdurrachman et al., 2021; Castellino, 2024)"},"properties":{"noteIndex":0},"schema":"https://github.com/citation-style-language/schema/raw/master/csl-citation.json"}</w:instrText>
      </w:r>
      <w:r w:rsidR="00FE2339">
        <w:rPr>
          <w:rFonts w:ascii="Cambria" w:hAnsi="Cambria"/>
        </w:rPr>
        <w:fldChar w:fldCharType="separate"/>
      </w:r>
      <w:r w:rsidR="00FE2339" w:rsidRPr="00FE2339">
        <w:rPr>
          <w:rFonts w:ascii="Cambria" w:hAnsi="Cambria"/>
          <w:noProof/>
        </w:rPr>
        <w:t>(Abdurrachman et al., 2021; Castellino, 2024)</w:t>
      </w:r>
      <w:r w:rsidR="00FE2339">
        <w:rPr>
          <w:rFonts w:ascii="Cambria" w:hAnsi="Cambria"/>
        </w:rPr>
        <w:fldChar w:fldCharType="end"/>
      </w:r>
      <w:r w:rsidRPr="0015695F">
        <w:rPr>
          <w:rFonts w:ascii="Cambria" w:hAnsi="Cambria"/>
        </w:rPr>
        <w:t xml:space="preserve">. Analisis laboratorium mengonfirmasi keberadaan zat berbahaya seperti logam berat dan bahan kimia industri di saluran air dan air tanah yang berdekatan, dengan konsentrasi yang secara signifikan melebihi batas aman yang ditetapkan oleh regulasi pemerintah </w:t>
      </w:r>
      <w:r w:rsidR="00FE2339">
        <w:rPr>
          <w:rFonts w:ascii="Cambria" w:hAnsi="Cambria"/>
        </w:rPr>
        <w:fldChar w:fldCharType="begin" w:fldLock="1"/>
      </w:r>
      <w:r w:rsidR="000B7E76">
        <w:rPr>
          <w:rFonts w:ascii="Cambria" w:hAnsi="Cambria"/>
        </w:rPr>
        <w:instrText>ADDIN CSL_CITATION {"citationItems":[{"id":"ITEM-1","itemData":{"DOI":"10.1080/23311886.2023.2187739","ISSN":"2331-1886","abstract":"… The impact is environmental damage, climate change, loss of forests on a large scale, and makes the lives of farmers, farm workers, fishermen, indigenous peoples, women and …","author":[{"dropping-particle":"","family":"Priyatno","given":"Dwidja","non-dropping-particle":"","parse-names":false,"suffix":""},{"dropping-particle":"","family":"Kamilah","given":"Anita","non-dropping-particle":"","parse-names":false,"suffix":""},{"dropping-particle":"","family":"Mulyana","given":"Aji","non-dropping-particle":"","parse-names":false,"suffix":""}],"container-title":"Cogent Social Sciences","id":"ITEM-1","issue":"1","issued":{"date-parts":[["2023","12","31"]]},"note":"Cited By (since 2023): 12","publisher":"Taylor &amp;Francis","title":"Corporate crime in expropriating land rights through intimidation and criminalization","type":"article-journal","volume":"9"},"uris":["http://www.mendeley.com/documents/?uuid=f65fe091-c911-4155-bb21-65db4985bc9d"]}],"mendeley":{"formattedCitation":"(Priyatno et al., 2023)","plainTextFormattedCitation":"(Priyatno et al., 2023)","previouslyFormattedCitation":"(Priyatno et al., 2023)"},"properties":{"noteIndex":0},"schema":"https://github.com/citation-style-language/schema/raw/master/csl-citation.json"}</w:instrText>
      </w:r>
      <w:r w:rsidR="00FE2339">
        <w:rPr>
          <w:rFonts w:ascii="Cambria" w:hAnsi="Cambria"/>
        </w:rPr>
        <w:fldChar w:fldCharType="separate"/>
      </w:r>
      <w:r w:rsidR="00FE2339" w:rsidRPr="00FE2339">
        <w:rPr>
          <w:rFonts w:ascii="Cambria" w:hAnsi="Cambria"/>
          <w:noProof/>
        </w:rPr>
        <w:t>(Priyatno et al., 2023)</w:t>
      </w:r>
      <w:r w:rsidR="00FE2339">
        <w:rPr>
          <w:rFonts w:ascii="Cambria" w:hAnsi="Cambria"/>
        </w:rPr>
        <w:fldChar w:fldCharType="end"/>
      </w:r>
      <w:r w:rsidRPr="0015695F">
        <w:rPr>
          <w:rFonts w:ascii="Cambria" w:hAnsi="Cambria"/>
        </w:rPr>
        <w:t xml:space="preserve">. Temuan ini diperkuat oleh kesaksian komunitas, yang secara konsisten menunjukkan pola hasil kesehatan yang merugikan dan degradasi lingkungan yang bertepatan dengan periode pembuangan industri yang intensif. Gabungan elemen-elemen ini menetapkan hubungan kausal yang jelas antara aktivitas perusahaan dan pencemaran yang didefinisikan secara hukum, memenuhi persyaratan faktual untuk penuntutan pidana menurut hukum lingkungan Indonesia </w:t>
      </w:r>
      <w:r w:rsidR="000B7E76">
        <w:rPr>
          <w:rFonts w:ascii="Cambria" w:hAnsi="Cambria"/>
        </w:rPr>
        <w:fldChar w:fldCharType="begin" w:fldLock="1"/>
      </w:r>
      <w:r w:rsidR="000B7E76">
        <w:rPr>
          <w:rFonts w:ascii="Cambria" w:hAnsi="Cambria"/>
        </w:rPr>
        <w:instrText>ADDIN CSL_CITATION {"citationItems":[{"id":"ITEM-1","itemData":{"DOI":"10.24123/jdh.v12i2.2898","ISSN":"1410-3982","abstract":"Abstract: Omnibus Law which seeks to simplify 79 laws and 1288 articles. The Omnibus Law, a number of articles has the potential to remove the protection of rights, obsess over the human rights of citizens, particularly in relation to civil and political, economic, social and cultural rights, and with regard to law enforcement for environmental destroyers who are weak. The research used socio-legal research methods. The results of the study are the limitations in prosecuting perpetrators of ecoside crimes only in war crimes, making it difficult to hold responsibility for crimes committed, both against individuals and multinational/transnational corporations. Omnibus Law has enormous potential to perpetuate the practice of ecocide crime systematically both in the political, legal, and socio-economic, cultural aspects. Thus, there is no reason to strengthen that the Omnibus Law is in fact favoring environmental destruction, and perpetuating the practice of impunity for perpetrators of environmental damage crimes. Keywords: Ecoside Crimes, Law Enforcement, Omnibus Law Abstrak: RUU Omnibus Law Cipta Kerja yang berupaya menyederhanakan 79 UU dan 1.288 Pasal. RUU Omnibus Law Cipta Kerja, sejumlah pasal berpotensi menghapus perlindungan hak, merepsesi HAM warga negara, khususnya terkait dengan hak-hak sipil dan politik dan ekonomi, sosial dan budaya. Serta berkenaan dengan penegakkan hukum bagi perusak lingkungan yang lemah. Metode penelitian yang digunakan adalah menggunakan metode penelitian sosio-legal. Hasil penelitian adalah Keterbatasan dalam penuntutan pelaku kejahatan ekosida hanya pada kejahatan perang membuat sulitnya meminta pertanggungjawaban atas kejahatan yang dilakukan, baik terhadap individu maupun korporasi multinasional/transnasional. RUU Omnibus Law Cipta Kerja menjadi potensi yang sangat besar untuk melanggengkan praktik kejahatan ekosida yang secara sistematis baik dalam aspek politik hukum, maupun sosial ekonomi, kebudayaan. Sehingga, tidak ada alasan yang menguatkan bahwa RUU Omnibus Law Cipta Kerja ini justru memihak pada pengrusakan lingkungan, serta melanggengkan praktik impunitas bagi pelaku kejahatan kerusakan lingkungan. Kata kunci: Kejahatan Ekosida, Penegakkan Hukum, RUU Omnibus Law","author":[{"dropping-particle":"","family":"Prakasa","given":"Satria Unggul Wicaksana","non-dropping-particle":"","parse-names":false,"suffix":""}],"container-title":"Jurnal Dinamika HAM (Journal of Human Rights)","id":"ITEM-1","issue":"2","issued":{"date-parts":[["2021","1","29"]]},"note":"Cited By (since 2021): 33","page":"14","publisher":"journal.ubaya.ac.id","title":"ECOCIDE CRIMES &amp; OMNIBUS LAW: REVIEW OF INTERNATIONAL LAW AND ITS IMPLICATIONS ON INDONESIA LAW","type":"article-journal","volume":"12"},"uris":["http://www.mendeley.com/documents/?uuid=aadf8779-b1fd-4a41-b0bd-3c0ecfe2c453"]}],"mendeley":{"formattedCitation":"(Prakasa, 2021)","plainTextFormattedCitation":"(Prakasa, 2021)","previouslyFormattedCitation":"(Prakasa, 2021)"},"properties":{"noteIndex":0},"schema":"https://github.com/citation-style-language/schema/raw/master/csl-citation.json"}</w:instrText>
      </w:r>
      <w:r w:rsidR="000B7E76">
        <w:rPr>
          <w:rFonts w:ascii="Cambria" w:hAnsi="Cambria"/>
        </w:rPr>
        <w:fldChar w:fldCharType="separate"/>
      </w:r>
      <w:r w:rsidR="000B7E76" w:rsidRPr="000B7E76">
        <w:rPr>
          <w:rFonts w:ascii="Cambria" w:hAnsi="Cambria"/>
          <w:noProof/>
        </w:rPr>
        <w:t>(Prakasa, 2021)</w:t>
      </w:r>
      <w:r w:rsidR="000B7E76">
        <w:rPr>
          <w:rFonts w:ascii="Cambria" w:hAnsi="Cambria"/>
        </w:rPr>
        <w:fldChar w:fldCharType="end"/>
      </w:r>
      <w:r w:rsidRPr="0015695F">
        <w:rPr>
          <w:rFonts w:ascii="Cambria" w:hAnsi="Cambria"/>
        </w:rPr>
        <w:t>.</w:t>
      </w:r>
    </w:p>
    <w:p w14:paraId="26A8371D" w14:textId="09D36CB3" w:rsidR="0015695F" w:rsidRPr="0015695F" w:rsidRDefault="0015695F" w:rsidP="0015695F">
      <w:pPr>
        <w:tabs>
          <w:tab w:val="left" w:pos="2940"/>
        </w:tabs>
        <w:spacing w:line="360" w:lineRule="auto"/>
        <w:jc w:val="both"/>
        <w:rPr>
          <w:rFonts w:ascii="Cambria" w:hAnsi="Cambria"/>
        </w:rPr>
      </w:pPr>
      <w:r w:rsidRPr="0015695F">
        <w:rPr>
          <w:rFonts w:ascii="Cambria" w:hAnsi="Cambria"/>
        </w:rPr>
        <w:lastRenderedPageBreak/>
        <w:t xml:space="preserve">Yang paling penting, hukum Indonesia mengadopsi prinsip tanggung jawab mutlak dalam kasus lingkungan, artinya penuntut tidak menanggung beban pembuktian niat kriminal jika pencemaran ilegal terbukti jelas </w:t>
      </w:r>
      <w:r w:rsidR="000B7E76">
        <w:rPr>
          <w:rFonts w:ascii="Cambria" w:hAnsi="Cambria"/>
        </w:rPr>
        <w:fldChar w:fldCharType="begin" w:fldLock="1"/>
      </w:r>
      <w:r w:rsidR="000B7E76">
        <w:rPr>
          <w:rFonts w:ascii="Cambria" w:hAnsi="Cambria"/>
        </w:rPr>
        <w:instrText>ADDIN CSL_CITATION {"citationItems":[{"id":"ITEM-1","itemData":{"abstract":"… The extent of environmental damage and uncontrolled … of environmental crime is different from traditional criminal … , integrated criminal law enforcement, and corporate crime regulation. …","author":[{"dropping-particle":"","family":"Salim","given":"A","non-dropping-particle":"","parse-names":false,"suffix":""},{"dropping-particle":"","family":"Palullungan","given":"L","non-dropping-particle":"","parse-names":false,"suffix":""}],"container-title":"International Journal of Criminology and Sociology, 2021,","id":"ITEM-1","issued":{"date-parts":[["2021"]]},"note":"Cited By (since 2021): 27","page":"517-524","publisher":"pdfs.semanticscholar.org","title":"The challenges of environmental law enforcement to implement SDGs in Indonesia","type":"article-journal","volume":"10"},"uris":["http://www.mendeley.com/documents/?uuid=a64de6ae-e8dc-4df9-82d0-ff60893fd7b3"]}],"mendeley":{"formattedCitation":"(Salim &amp; Palullungan, 2021)","plainTextFormattedCitation":"(Salim &amp; Palullungan, 2021)","previouslyFormattedCitation":"(Salim &amp; Palullungan, 2021)"},"properties":{"noteIndex":0},"schema":"https://github.com/citation-style-language/schema/raw/master/csl-citation.json"}</w:instrText>
      </w:r>
      <w:r w:rsidR="000B7E76">
        <w:rPr>
          <w:rFonts w:ascii="Cambria" w:hAnsi="Cambria"/>
        </w:rPr>
        <w:fldChar w:fldCharType="separate"/>
      </w:r>
      <w:r w:rsidR="000B7E76" w:rsidRPr="000B7E76">
        <w:rPr>
          <w:rFonts w:ascii="Cambria" w:hAnsi="Cambria"/>
          <w:noProof/>
        </w:rPr>
        <w:t>(Salim &amp; Palullungan, 2021)</w:t>
      </w:r>
      <w:r w:rsidR="000B7E76">
        <w:rPr>
          <w:rFonts w:ascii="Cambria" w:hAnsi="Cambria"/>
        </w:rPr>
        <w:fldChar w:fldCharType="end"/>
      </w:r>
      <w:r w:rsidRPr="0015695F">
        <w:rPr>
          <w:rFonts w:ascii="Cambria" w:hAnsi="Cambria"/>
        </w:rPr>
        <w:t xml:space="preserve">. Prinsip ini dirancang untuk mengatasi pertahanan yang biasa digunakan oleh perusahaan dalam masalah lingkungan, dengan fokus pada dampak terukur dari operasi mereka. Selain itu, tanggung jawab dapat melekat tidak hanya pada entitas korporasi tetapi juga kepada direktur atau manajer seniornya, terutama jika bukti menunjukkan pengetahuan atau kegagalan mereka mencegah tindakan yang melanggar hukum tersebut </w:t>
      </w:r>
      <w:r w:rsidR="000B7E76">
        <w:rPr>
          <w:rFonts w:ascii="Cambria" w:hAnsi="Cambria"/>
        </w:rPr>
        <w:fldChar w:fldCharType="begin" w:fldLock="1"/>
      </w:r>
      <w:r w:rsidR="000B7E76">
        <w:rPr>
          <w:rFonts w:ascii="Cambria" w:hAnsi="Cambria"/>
        </w:rPr>
        <w:instrText>ADDIN CSL_CITATION {"citationItems":[{"id":"ITEM-1","itemData":{"DOI":"10.37394/232015.2024.20.19","ISSN":"2224-3496","abstract":"Introduction: The formation of environmental law in many countries worldwide will unavoidably be promoted and coordinated by the non-governmental environmental groups currently in the world. In addition, it will benefit some developing countries where environmental protection is not a priority, environmental laws are not well-established, and oversight is not rigorous enough. Objective of research: This paper aims to explore the challenges and opportunities of environmental law enforcement in many countries in the world. Methods: A systematic review was used in this study. Based on the Preferred Reporting Items for Systematic Reviews and Meta-Analyses, this study followed the steps of a systematic review of the literature (PRISMA). The final sample of 35 publications was analyzed, considering the year of publication, methods utilized, geographical location, the topic of challenges, and opportunities in enforcing environmental law. Responding to environmental crime is largely the responsibility of government enforcement and regulatory authorities, whether at the national, subnational, or municipal levels. Results and Discussion: The primary reaction agencies in most areas of the world are police, customs and border protection, and environmental regulatory agencies. To assist developing nations in improving environmental legal instruments and supervision; to achieve the ultimate goal of regional and even global environmental law coordination; to train relevant persons, relevant agencies, and other topics in the necessary environmental skills and knowledge; and to transfer and teach environmental knowledge and law within a specified time frame. Conclusion: Although some countries have a thorough legislative structure for environmental protection, local government independence and law enforcement must be improved. The ability of environmental law to serve a purpose is critical in determining whether the measures should be fully implemented.","author":[{"dropping-particle":"","family":"Alauddin","given":"Rusdin","non-dropping-particle":"","parse-names":false,"suffix":""},{"dropping-particle":"","family":"Arsad","given":"Jamal Hi","non-dropping-particle":"","parse-names":false,"suffix":""},{"dropping-particle":"","family":"Dp","given":"Abdul Azis","non-dropping-particle":"","parse-names":false,"suffix":""},{"dropping-particle":"","family":"Faisal","given":"Faisal","non-dropping-particle":"","parse-names":false,"suffix":""},{"dropping-particle":"","family":"Ratnaningsih","given":"Muliani","non-dropping-particle":"","parse-names":false,"suffix":""},{"dropping-particle":"","family":"Rustam","given":"Muhammad","non-dropping-particle":"","parse-names":false,"suffix":""}],"container-title":"WSEAS TRANSACTIONS ON ENVIRONMENT AND DEVELOPMENT","id":"ITEM-1","issued":{"date-parts":[["2024","5","16"]]},"note":"Cited By (since 2024): 6","page":"184-193","publisher":"wseas.com","title":"The Challenges and Opportunities of Environmental Law Enforcement: A Systematic Review","type":"article-journal","volume":"20"},"uris":["http://www.mendeley.com/documents/?uuid=df0e3c4c-8e00-45c6-8009-d1161a9a8a55"]},{"id":"ITEM-2","itemData":{"DOI":"10.18280/ijsdp.160807","ISSN":"17437601","abstract":"This study aims to analyse ecocides as a gross violation of human rights through a case study of river pollution conducted by palm oil companies in Indonesia. This article is methodologically distinctive from doctrinal legal research, primarily through a literature review. There are three main reasons for incorporating environmental concerns as an extraordinary crime of ecocide into serious human rights violations, especially those committed by several palm oil companies in Indonesia, namely: The quality of the Environment is the essence of human life that complements human dignity; environmental concerns and crimes in the tradition of extraordinary crimes are a response to the inability of national and even international environmental laws; and ensure restitution, rehabilitation and compensation to all victims of ecocide crime.","author":[{"dropping-particle":"","family":"Setiyono","given":"Joko","non-dropping-particle":"","parse-names":false,"suffix":""},{"dropping-particle":"","family":"Natalis","given":"Aga","non-dropping-particle":"","parse-names":false,"suffix":""}],"container-title":"International Journal of Sustainable Development and Planning","id":"ITEM-2","issue":"8","issued":{"date-parts":[["2021","12","30"]]},"note":"Cited By (since 2022): 19","page":"1465-1471","publisher":"Fakultas Hukum Undip","title":"Ecocides as a Serious Human Rights Violation: A Study on the Case of River Pollution by the Palm Oil Industry in Indonesia","type":"article-journal","volume":"16"},"uris":["http://www.mendeley.com/documents/?uuid=57435642-3cb6-49a9-a2e5-bff294e57bbf"]}],"mendeley":{"formattedCitation":"(Alauddin et al., 2024; Setiyono &amp; Natalis, 2021)","plainTextFormattedCitation":"(Alauddin et al., 2024; Setiyono &amp; Natalis, 2021)","previouslyFormattedCitation":"(Alauddin et al., 2024; Setiyono &amp; Natalis, 2021)"},"properties":{"noteIndex":0},"schema":"https://github.com/citation-style-language/schema/raw/master/csl-citation.json"}</w:instrText>
      </w:r>
      <w:r w:rsidR="000B7E76">
        <w:rPr>
          <w:rFonts w:ascii="Cambria" w:hAnsi="Cambria"/>
        </w:rPr>
        <w:fldChar w:fldCharType="separate"/>
      </w:r>
      <w:r w:rsidR="000B7E76" w:rsidRPr="000B7E76">
        <w:rPr>
          <w:rFonts w:ascii="Cambria" w:hAnsi="Cambria"/>
          <w:noProof/>
        </w:rPr>
        <w:t>(Alauddin et al., 2024; Setiyono &amp; Natalis, 2021)</w:t>
      </w:r>
      <w:r w:rsidR="000B7E76">
        <w:rPr>
          <w:rFonts w:ascii="Cambria" w:hAnsi="Cambria"/>
        </w:rPr>
        <w:fldChar w:fldCharType="end"/>
      </w:r>
      <w:r w:rsidRPr="0015695F">
        <w:rPr>
          <w:rFonts w:ascii="Cambria" w:hAnsi="Cambria"/>
        </w:rPr>
        <w:t xml:space="preserve">. Pendekatan ganda ini memperluas cakupan akuntabilitas pidana dan konsisten dengan standar hukum internasional yang berlaku untuk kejahatan lingkungan </w:t>
      </w:r>
      <w:r w:rsidR="000B7E76">
        <w:rPr>
          <w:rFonts w:ascii="Cambria" w:hAnsi="Cambria"/>
        </w:rPr>
        <w:fldChar w:fldCharType="begin" w:fldLock="1"/>
      </w:r>
      <w:r w:rsidR="000B7E76">
        <w:rPr>
          <w:rFonts w:ascii="Cambria" w:hAnsi="Cambria"/>
        </w:rPr>
        <w:instrText>ADDIN CSL_CITATION {"citationItems":[{"id":"ITEM-1","itemData":{"DOI":"10.1007/978-3-030-69052-6","ISBN":"978-3-030-69051-9","abstract":"… is committed primarily by organisational offenders (corporations and government entities) as a … and stop any further environmental damage;…the wider range of orders available in civil …","author":[{"dropping-particle":"","family":"Hamilton","given":"Mark","non-dropping-particle":"","parse-names":false,"suffix":""}],"id":"ITEM-1","issued":{"date-parts":[["2021"]]},"note":"Cited By (since 2021): 55","publisher":"Springer International Publishing","publisher-place":"Cham","title":"Environmental Crime and Restorative Justice","type":"book"},"uris":["http://www.mendeley.com/documents/?uuid=02dcf0c1-e778-43b9-88e3-054fdc457650"]}],"mendeley":{"formattedCitation":"(Hamilton, 2021)","plainTextFormattedCitation":"(Hamilton, 2021)","previouslyFormattedCitation":"(Hamilton, 2021)"},"properties":{"noteIndex":0},"schema":"https://github.com/citation-style-language/schema/raw/master/csl-citation.json"}</w:instrText>
      </w:r>
      <w:r w:rsidR="000B7E76">
        <w:rPr>
          <w:rFonts w:ascii="Cambria" w:hAnsi="Cambria"/>
        </w:rPr>
        <w:fldChar w:fldCharType="separate"/>
      </w:r>
      <w:r w:rsidR="000B7E76" w:rsidRPr="000B7E76">
        <w:rPr>
          <w:rFonts w:ascii="Cambria" w:hAnsi="Cambria"/>
          <w:noProof/>
        </w:rPr>
        <w:t>(Hamilton, 2021)</w:t>
      </w:r>
      <w:r w:rsidR="000B7E76">
        <w:rPr>
          <w:rFonts w:ascii="Cambria" w:hAnsi="Cambria"/>
        </w:rPr>
        <w:fldChar w:fldCharType="end"/>
      </w:r>
      <w:r w:rsidRPr="0015695F">
        <w:rPr>
          <w:rFonts w:ascii="Cambria" w:hAnsi="Cambria"/>
        </w:rPr>
        <w:t>.</w:t>
      </w:r>
    </w:p>
    <w:p w14:paraId="0C334A13" w14:textId="6A463DE0" w:rsidR="0015695F" w:rsidRPr="0015695F" w:rsidRDefault="0015695F" w:rsidP="0015695F">
      <w:pPr>
        <w:tabs>
          <w:tab w:val="left" w:pos="2940"/>
        </w:tabs>
        <w:spacing w:line="360" w:lineRule="auto"/>
        <w:jc w:val="both"/>
        <w:rPr>
          <w:rFonts w:ascii="Cambria" w:hAnsi="Cambria"/>
        </w:rPr>
      </w:pPr>
      <w:r w:rsidRPr="0015695F">
        <w:rPr>
          <w:rFonts w:ascii="Cambria" w:hAnsi="Cambria"/>
        </w:rPr>
        <w:t xml:space="preserve">Namun, penelitian juga mengidentifikasi adanya kekurangan signifikan dalam penegakan hukum. Hambatan administratif dan prosedural sering kali menunda penyelidikan, dan kekurangan teknis dalam pengukuran polusi terkadang melemahkan upaya penuntutan </w:t>
      </w:r>
      <w:r w:rsidR="000B7E76">
        <w:rPr>
          <w:rFonts w:ascii="Cambria" w:hAnsi="Cambria"/>
        </w:rPr>
        <w:fldChar w:fldCharType="begin" w:fldLock="1"/>
      </w:r>
      <w:r w:rsidR="000B7E76">
        <w:rPr>
          <w:rFonts w:ascii="Cambria" w:hAnsi="Cambria"/>
        </w:rPr>
        <w:instrText>ADDIN CSL_CITATION {"citationItems":[{"id":"ITEM-1","itemData":{"DOI":"10.3316/informit.379398893195786","abstract":"… involve corporations blatantly violating the fire ban on corporate-… Proving corporate criminal liability in regard to land and … actions, and the layers of corporate structures makes it tricky to …","author":[{"dropping-particle":"","family":"Fajrini","given":"R","non-dropping-particle":"","parse-names":false,"suffix":""}],"container-title":"International Journal for Crime, Justice and Social Democracy","id":"ITEM-1","issue":"1","issued":{"date-parts":[["2021"]]},"note":"Cited By (since 2022): 44","page":"28-43","publisher":"search.informit.org","title":"Environmental harm and decriminalization of traditional slash-and-burn practices in Indonesia","type":"article-journal","volume":"11"},"uris":["http://www.mendeley.com/documents/?uuid=515acbb1-56e8-48aa-af22-77b6b76bffca"]}],"mendeley":{"formattedCitation":"(Fajrini, 2021)","plainTextFormattedCitation":"(Fajrini, 2021)","previouslyFormattedCitation":"(Fajrini, 2021)"},"properties":{"noteIndex":0},"schema":"https://github.com/citation-style-language/schema/raw/master/csl-citation.json"}</w:instrText>
      </w:r>
      <w:r w:rsidR="000B7E76">
        <w:rPr>
          <w:rFonts w:ascii="Cambria" w:hAnsi="Cambria"/>
        </w:rPr>
        <w:fldChar w:fldCharType="separate"/>
      </w:r>
      <w:r w:rsidR="000B7E76" w:rsidRPr="000B7E76">
        <w:rPr>
          <w:rFonts w:ascii="Cambria" w:hAnsi="Cambria"/>
          <w:noProof/>
        </w:rPr>
        <w:t>(Fajrini, 2021)</w:t>
      </w:r>
      <w:r w:rsidR="000B7E76">
        <w:rPr>
          <w:rFonts w:ascii="Cambria" w:hAnsi="Cambria"/>
        </w:rPr>
        <w:fldChar w:fldCharType="end"/>
      </w:r>
      <w:r w:rsidRPr="0015695F">
        <w:rPr>
          <w:rFonts w:ascii="Cambria" w:hAnsi="Cambria"/>
        </w:rPr>
        <w:t>. Otoritas lokal mungkin menghadapi tekanan eksternal, termasuk intervensi politik dan lobi korporasi, yang dapat merusak integritas kasus lingkungan. Kesulitan ini tercermin dalam tingkat keberhasilan vonis pidana yang relatif rendah dalam kasus serupa dengan PT Eco Green, meskipun ada banyak bukti pelanggaran hukum</w:t>
      </w:r>
      <w:r w:rsidR="000B7E76">
        <w:rPr>
          <w:rFonts w:ascii="Cambria" w:hAnsi="Cambria"/>
        </w:rPr>
        <w:fldChar w:fldCharType="begin" w:fldLock="1"/>
      </w:r>
      <w:r w:rsidR="000B7E76">
        <w:rPr>
          <w:rFonts w:ascii="Cambria" w:hAnsi="Cambria"/>
        </w:rPr>
        <w:instrText>ADDIN CSL_CITATION {"citationItems":[{"id":"ITEM-1","itemData":{"DOI":"10.62264/jlej.v3i2.172","ISSN":"3031-7045","abstract":"The state is entitled to demand asset recovery against mining corruption and/or illegal mining for alleged abuse of power, but the Corruption Crime Law only focuses on the confiscation of assets as an economic exchange value, so standardization of allocations for ecological recovery is needed as an effort to restructure post-mining land. This research aims to clarify the concept of ecological based asset recovery related to corruption cases in the mining sector, specifically within the context of Indonesia's Asset Confiscation Law. This type of research is normative, employing a statutory approach to rationalize facts and establish a legal basis for recovering assets derived from criminal acts of corruption in vital natural resources. This research shows, first, the results of the rationality research in the form of arguments that manipulative actions in the mining sector with indications of gaining profits are corruption, corruption in the mining sector is an act that is detrimental to state finances, and the mining sector is an exploitative activity that requires allocation of ecological recovery. Second, the Draft Law on Asset Confiscation is recommended to regulate the systematic confiscation of mining corruption proceeds, aiming not only to support economic recovery but also to facilitate ecological recovery. This regulation encompasses asset management, the allocation of ecological loss costs, the allocation of economic losses, and the allocation of ecological recovery costs.","author":[{"dropping-particle":"","family":"Ode Ghondohi","given":"","non-dropping-particle":"La","parse-names":false,"suffix":""},{"dropping-particle":"","family":"H.M. Said KArim","given":"","non-dropping-particle":"","parse-names":false,"suffix":""},{"dropping-particle":"","family":"Muhadar","given":"Muhadar","non-dropping-particle":"","parse-names":false,"suffix":""},{"dropping-particle":"","family":"Ali Rahman","given":"","non-dropping-particle":"","parse-names":false,"suffix":""},{"dropping-particle":"","family":"Maratovna","given":"Yessentemirova Aigul","non-dropping-particle":"","parse-names":false,"suffix":""}],"container-title":"Journal of Law, Environmental and Justice","id":"ITEM-1","issue":"2","issued":{"date-parts":[["2025","8","9"]]},"note":"Cited By (since 2025): 7","page":"446-475","publisher":"journal.iueam.org","title":"Asset Recovery from Mining Corruption: Rationality, Urgency, and Challenges for Environmental Restoration","type":"article-journal","volume":"3"},"uris":["http://www.mendeley.com/documents/?uuid=863e582c-3f35-4f34-a791-04b6a66b1e40"]}],"mendeley":{"formattedCitation":"(La Ode Ghondohi et al., 2025)","plainTextFormattedCitation":"(La Ode Ghondohi et al., 2025)","previouslyFormattedCitation":"(La Ode Ghondohi et al., 2025)"},"properties":{"noteIndex":0},"schema":"https://github.com/citation-style-language/schema/raw/master/csl-citation.json"}</w:instrText>
      </w:r>
      <w:r w:rsidR="000B7E76">
        <w:rPr>
          <w:rFonts w:ascii="Cambria" w:hAnsi="Cambria"/>
        </w:rPr>
        <w:fldChar w:fldCharType="separate"/>
      </w:r>
      <w:r w:rsidR="000B7E76" w:rsidRPr="000B7E76">
        <w:rPr>
          <w:rFonts w:ascii="Cambria" w:hAnsi="Cambria"/>
          <w:noProof/>
        </w:rPr>
        <w:t>(La Ode Ghondohi et al., 2025)</w:t>
      </w:r>
      <w:r w:rsidR="000B7E76">
        <w:rPr>
          <w:rFonts w:ascii="Cambria" w:hAnsi="Cambria"/>
        </w:rPr>
        <w:fldChar w:fldCharType="end"/>
      </w:r>
      <w:r w:rsidRPr="0015695F">
        <w:rPr>
          <w:rFonts w:ascii="Cambria" w:hAnsi="Cambria"/>
        </w:rPr>
        <w:t xml:space="preserve">. </w:t>
      </w:r>
    </w:p>
    <w:p w14:paraId="74D52064" w14:textId="2831760D" w:rsidR="0015695F" w:rsidRDefault="0015695F" w:rsidP="0015695F">
      <w:pPr>
        <w:tabs>
          <w:tab w:val="left" w:pos="2940"/>
        </w:tabs>
        <w:spacing w:line="360" w:lineRule="auto"/>
        <w:jc w:val="both"/>
        <w:rPr>
          <w:rFonts w:ascii="Cambria" w:hAnsi="Cambria"/>
        </w:rPr>
      </w:pPr>
      <w:r w:rsidRPr="0015695F">
        <w:rPr>
          <w:rFonts w:ascii="Cambria" w:hAnsi="Cambria"/>
        </w:rPr>
        <w:t xml:space="preserve">Dengan demikian, meskipun kerangka hukum menyediakan mekanisme yang kuat untuk menuntut pertanggungjawaban pencemar korporasi, efektivitas praktisnya memerlukan penguatan yang substansial. Lembaga penegak hukum membutuhkan kapasitas teknis yang lebih baik dan otonomi lebih besar untuk menangani kasus-kasus kompleks tanpa campur tangan eksternal. Transparansi yang lebih baik dalam pengelolaan mekanisme pengaduan lingkungan, perlindungan bagi pelapor pelanggaran, dan pengawasan publik yang bermakna semuanya diperlukan untuk menutup kesenjangan antara hukum dan praktik </w:t>
      </w:r>
      <w:r w:rsidR="000B7E76">
        <w:rPr>
          <w:rFonts w:ascii="Cambria" w:hAnsi="Cambria"/>
        </w:rPr>
        <w:fldChar w:fldCharType="begin" w:fldLock="1"/>
      </w:r>
      <w:r w:rsidR="000B7E76">
        <w:rPr>
          <w:rFonts w:ascii="Cambria" w:hAnsi="Cambria"/>
        </w:rPr>
        <w:instrText>ADDIN CSL_CITATION {"citationItems":[{"id":"ITEM-1","itemData":{"DOI":"10.15294/ijel.v1i1.21822","ISSN":"2829-9590","abstract":"Implementation of environmental protection in juridical forest area has been regulated in Law No. 18 of 2013, on the prevention and eradication of forest destruction. In fact, the implementation of laws on the prevention and eradication of forest destruction is still at issue. Problems about efficiency and effectiveness of enforcement provided by the government. Through the methodology, it can answer the understanding of society and philosophical basis of legislation on the prevention and eradication of forest destruction and can improve the quality of enforcement of the law as well as the role given by the government. This study is expected to provide evaluation and enhancement of law enforcement in forest area protection.","author":[{"dropping-particle":"","family":"Erla Sari Dekiawati","given":"","non-dropping-particle":"","parse-names":false,"suffix":""}],"container-title":"Indonesian Journal of Environmental Law and Sustainable Development","id":"ITEM-1","issue":"1","issued":{"date-parts":[["2022","1","31"]]},"note":"Cited By (since 2022): 24","page":"47-68","title":"Law Enforcement of Illegal Logging in Indonesia: Problems and Challenges in Present and the Future","type":"article-journal","volume":"1"},"uris":["http://www.mendeley.com/documents/?uuid=c5e3feec-c75f-4529-a0f2-47bfbb6ab3db"]}],"mendeley":{"formattedCitation":"(Erla Sari Dekiawati, 2022)","plainTextFormattedCitation":"(Erla Sari Dekiawati, 2022)","previouslyFormattedCitation":"(Erla Sari Dekiawati, 2022)"},"properties":{"noteIndex":0},"schema":"https://github.com/citation-style-language/schema/raw/master/csl-citation.json"}</w:instrText>
      </w:r>
      <w:r w:rsidR="000B7E76">
        <w:rPr>
          <w:rFonts w:ascii="Cambria" w:hAnsi="Cambria"/>
        </w:rPr>
        <w:fldChar w:fldCharType="separate"/>
      </w:r>
      <w:r w:rsidR="000B7E76" w:rsidRPr="000B7E76">
        <w:rPr>
          <w:rFonts w:ascii="Cambria" w:hAnsi="Cambria"/>
          <w:noProof/>
        </w:rPr>
        <w:t>(Erla Sari Dekiawati, 2022)</w:t>
      </w:r>
      <w:r w:rsidR="000B7E76">
        <w:rPr>
          <w:rFonts w:ascii="Cambria" w:hAnsi="Cambria"/>
        </w:rPr>
        <w:fldChar w:fldCharType="end"/>
      </w:r>
      <w:r w:rsidRPr="0015695F">
        <w:rPr>
          <w:rFonts w:ascii="Cambria" w:hAnsi="Cambria"/>
        </w:rPr>
        <w:t xml:space="preserve">. Dengan mengatasi kelemahan sistemik ini, rezim tanggung jawab pidana dapat menjadi pencegah nyata terhadap kejahatan lingkungan dan memajukan tujuan yang lebih luas dalam </w:t>
      </w:r>
      <w:proofErr w:type="spellStart"/>
      <w:r w:rsidRPr="0015695F">
        <w:rPr>
          <w:rFonts w:ascii="Cambria" w:hAnsi="Cambria"/>
        </w:rPr>
        <w:t>perlindungan</w:t>
      </w:r>
      <w:proofErr w:type="spellEnd"/>
      <w:r w:rsidRPr="0015695F">
        <w:rPr>
          <w:rFonts w:ascii="Cambria" w:hAnsi="Cambria"/>
        </w:rPr>
        <w:t xml:space="preserve"> </w:t>
      </w:r>
      <w:proofErr w:type="spellStart"/>
      <w:r w:rsidRPr="0015695F">
        <w:rPr>
          <w:rFonts w:ascii="Cambria" w:hAnsi="Cambria"/>
        </w:rPr>
        <w:t>lingkungan</w:t>
      </w:r>
      <w:proofErr w:type="spellEnd"/>
      <w:r w:rsidRPr="0015695F">
        <w:rPr>
          <w:rFonts w:ascii="Cambria" w:hAnsi="Cambria"/>
        </w:rPr>
        <w:t xml:space="preserve"> dan </w:t>
      </w:r>
      <w:proofErr w:type="spellStart"/>
      <w:r w:rsidRPr="0015695F">
        <w:rPr>
          <w:rFonts w:ascii="Cambria" w:hAnsi="Cambria"/>
        </w:rPr>
        <w:t>kesejahteraan</w:t>
      </w:r>
      <w:proofErr w:type="spellEnd"/>
      <w:r w:rsidRPr="0015695F">
        <w:rPr>
          <w:rFonts w:ascii="Cambria" w:hAnsi="Cambria"/>
        </w:rPr>
        <w:t xml:space="preserve"> </w:t>
      </w:r>
      <w:proofErr w:type="spellStart"/>
      <w:r w:rsidRPr="0015695F">
        <w:rPr>
          <w:rFonts w:ascii="Cambria" w:hAnsi="Cambria"/>
        </w:rPr>
        <w:t>publik</w:t>
      </w:r>
      <w:proofErr w:type="spellEnd"/>
      <w:r w:rsidRPr="0015695F">
        <w:rPr>
          <w:rFonts w:ascii="Cambria" w:hAnsi="Cambria"/>
        </w:rPr>
        <w:t xml:space="preserve"> di Indonesia.</w:t>
      </w:r>
    </w:p>
    <w:p w14:paraId="0C8A95CF" w14:textId="3BA1EBCF" w:rsidR="00DB230A" w:rsidRDefault="00DB230A" w:rsidP="0015695F">
      <w:pPr>
        <w:tabs>
          <w:tab w:val="left" w:pos="2940"/>
        </w:tabs>
        <w:spacing w:line="360" w:lineRule="auto"/>
        <w:jc w:val="both"/>
        <w:rPr>
          <w:rFonts w:ascii="Cambria" w:hAnsi="Cambria"/>
        </w:rPr>
      </w:pPr>
    </w:p>
    <w:p w14:paraId="4DE03439" w14:textId="77777777" w:rsidR="00DB230A" w:rsidRDefault="00DB230A" w:rsidP="0015695F">
      <w:pPr>
        <w:tabs>
          <w:tab w:val="left" w:pos="2940"/>
        </w:tabs>
        <w:spacing w:line="360" w:lineRule="auto"/>
        <w:jc w:val="both"/>
        <w:rPr>
          <w:rFonts w:ascii="Cambria" w:hAnsi="Cambria"/>
        </w:rPr>
      </w:pPr>
    </w:p>
    <w:p w14:paraId="7F32F551" w14:textId="77777777" w:rsidR="0069072D" w:rsidRPr="0069072D" w:rsidRDefault="0069072D" w:rsidP="0069072D">
      <w:pPr>
        <w:tabs>
          <w:tab w:val="left" w:pos="2940"/>
        </w:tabs>
        <w:jc w:val="both"/>
        <w:rPr>
          <w:rFonts w:ascii="Cambria" w:hAnsi="Cambria"/>
          <w:b/>
          <w:bCs/>
        </w:rPr>
      </w:pPr>
      <w:r w:rsidRPr="0069072D">
        <w:rPr>
          <w:rFonts w:ascii="Cambria" w:hAnsi="Cambria"/>
          <w:b/>
          <w:bCs/>
        </w:rPr>
        <w:lastRenderedPageBreak/>
        <w:t>D. KESIMPULAN</w:t>
      </w:r>
    </w:p>
    <w:p w14:paraId="40CA973C" w14:textId="77777777" w:rsidR="006E38ED" w:rsidRPr="006E38ED" w:rsidRDefault="006E38ED" w:rsidP="006E38ED">
      <w:pPr>
        <w:tabs>
          <w:tab w:val="left" w:pos="2940"/>
        </w:tabs>
        <w:spacing w:line="360" w:lineRule="auto"/>
        <w:jc w:val="both"/>
        <w:rPr>
          <w:rFonts w:ascii="Cambria" w:hAnsi="Cambria"/>
        </w:rPr>
      </w:pPr>
      <w:r w:rsidRPr="006E38ED">
        <w:rPr>
          <w:rFonts w:ascii="Cambria" w:hAnsi="Cambria"/>
        </w:rPr>
        <w:t xml:space="preserve">Temuan studi ini menunjukkan bahwa operasi PT Eco Green di Pekanbaru telah menyebabkan polusi lingkungan yang signifikan dan dampak negatif terhadap kesehatan masyarakat. Meskipun ada regulasi lingkungan yang komprehensif di Indonesia, seperti Undang-Undang No. 32 tahun 2009, pelanggaran berulang perusahaan dan pengabaian terhadap standar pengelolaan limbah telah mengungkap kekurangan serius dalam penegakan regulasi dan mekanisme akuntabilitas. Penelitian ini menyoroti adanya kesenjangan yang terus-menerus antara maksud undang-undang lingkungan dan realitas penerapannya, mengungkapkan bahwa institusi yang ada belum sepenuhnya efektif dalam mencegah dan menuntut pelaku kejahatan korporasi. Keterbatasan dalam koordinasi antar-lembaga, infrastruktur teknis yang tidak memadai, dan </w:t>
      </w:r>
      <w:proofErr w:type="spellStart"/>
      <w:r w:rsidRPr="006E38ED">
        <w:rPr>
          <w:rFonts w:ascii="Cambria" w:hAnsi="Cambria"/>
        </w:rPr>
        <w:t>tekanan</w:t>
      </w:r>
      <w:proofErr w:type="spellEnd"/>
      <w:r w:rsidRPr="006E38ED">
        <w:rPr>
          <w:rFonts w:ascii="Cambria" w:hAnsi="Cambria"/>
        </w:rPr>
        <w:t xml:space="preserve"> </w:t>
      </w:r>
      <w:proofErr w:type="spellStart"/>
      <w:r w:rsidRPr="006E38ED">
        <w:rPr>
          <w:rFonts w:ascii="Cambria" w:hAnsi="Cambria"/>
        </w:rPr>
        <w:t>eksternal</w:t>
      </w:r>
      <w:proofErr w:type="spellEnd"/>
      <w:r w:rsidRPr="006E38ED">
        <w:rPr>
          <w:rFonts w:ascii="Cambria" w:hAnsi="Cambria"/>
        </w:rPr>
        <w:t xml:space="preserve"> </w:t>
      </w:r>
      <w:proofErr w:type="spellStart"/>
      <w:r w:rsidRPr="006E38ED">
        <w:rPr>
          <w:rFonts w:ascii="Cambria" w:hAnsi="Cambria"/>
        </w:rPr>
        <w:t>semuanya</w:t>
      </w:r>
      <w:proofErr w:type="spellEnd"/>
      <w:r w:rsidRPr="006E38ED">
        <w:rPr>
          <w:rFonts w:ascii="Cambria" w:hAnsi="Cambria"/>
        </w:rPr>
        <w:t xml:space="preserve"> </w:t>
      </w:r>
      <w:proofErr w:type="spellStart"/>
      <w:r w:rsidRPr="006E38ED">
        <w:rPr>
          <w:rFonts w:ascii="Cambria" w:hAnsi="Cambria"/>
        </w:rPr>
        <w:t>berkontribusi</w:t>
      </w:r>
      <w:proofErr w:type="spellEnd"/>
      <w:r w:rsidRPr="006E38ED">
        <w:rPr>
          <w:rFonts w:ascii="Cambria" w:hAnsi="Cambria"/>
        </w:rPr>
        <w:t xml:space="preserve"> pada </w:t>
      </w:r>
      <w:proofErr w:type="spellStart"/>
      <w:r w:rsidRPr="006E38ED">
        <w:rPr>
          <w:rFonts w:ascii="Cambria" w:hAnsi="Cambria"/>
        </w:rPr>
        <w:t>keterlambatan</w:t>
      </w:r>
      <w:proofErr w:type="spellEnd"/>
      <w:r w:rsidRPr="006E38ED">
        <w:rPr>
          <w:rFonts w:ascii="Cambria" w:hAnsi="Cambria"/>
        </w:rPr>
        <w:t xml:space="preserve"> </w:t>
      </w:r>
      <w:proofErr w:type="spellStart"/>
      <w:r w:rsidRPr="006E38ED">
        <w:rPr>
          <w:rFonts w:ascii="Cambria" w:hAnsi="Cambria"/>
        </w:rPr>
        <w:t>penyelidikan</w:t>
      </w:r>
      <w:proofErr w:type="spellEnd"/>
      <w:r w:rsidRPr="006E38ED">
        <w:rPr>
          <w:rFonts w:ascii="Cambria" w:hAnsi="Cambria"/>
        </w:rPr>
        <w:t xml:space="preserve"> dan </w:t>
      </w:r>
      <w:proofErr w:type="spellStart"/>
      <w:r w:rsidRPr="006E38ED">
        <w:rPr>
          <w:rFonts w:ascii="Cambria" w:hAnsi="Cambria"/>
        </w:rPr>
        <w:t>melemahkan</w:t>
      </w:r>
      <w:proofErr w:type="spellEnd"/>
      <w:r w:rsidRPr="006E38ED">
        <w:rPr>
          <w:rFonts w:ascii="Cambria" w:hAnsi="Cambria"/>
        </w:rPr>
        <w:t xml:space="preserve"> </w:t>
      </w:r>
      <w:proofErr w:type="spellStart"/>
      <w:r w:rsidRPr="006E38ED">
        <w:rPr>
          <w:rFonts w:ascii="Cambria" w:hAnsi="Cambria"/>
        </w:rPr>
        <w:t>penuntutan</w:t>
      </w:r>
      <w:proofErr w:type="spellEnd"/>
      <w:r w:rsidRPr="006E38ED">
        <w:rPr>
          <w:rFonts w:ascii="Cambria" w:hAnsi="Cambria"/>
        </w:rPr>
        <w:t xml:space="preserve"> </w:t>
      </w:r>
      <w:proofErr w:type="spellStart"/>
      <w:r w:rsidRPr="006E38ED">
        <w:rPr>
          <w:rFonts w:ascii="Cambria" w:hAnsi="Cambria"/>
        </w:rPr>
        <w:t>kejahatan</w:t>
      </w:r>
      <w:proofErr w:type="spellEnd"/>
      <w:r w:rsidRPr="006E38ED">
        <w:rPr>
          <w:rFonts w:ascii="Cambria" w:hAnsi="Cambria"/>
        </w:rPr>
        <w:t xml:space="preserve"> </w:t>
      </w:r>
      <w:proofErr w:type="spellStart"/>
      <w:r w:rsidRPr="006E38ED">
        <w:rPr>
          <w:rFonts w:ascii="Cambria" w:hAnsi="Cambria"/>
        </w:rPr>
        <w:t>lingkungan</w:t>
      </w:r>
      <w:proofErr w:type="spellEnd"/>
      <w:r w:rsidRPr="006E38ED">
        <w:rPr>
          <w:rFonts w:ascii="Cambria" w:hAnsi="Cambria"/>
        </w:rPr>
        <w:t>.</w:t>
      </w:r>
    </w:p>
    <w:p w14:paraId="470325FC" w14:textId="77777777" w:rsidR="006E38ED" w:rsidRPr="006E38ED" w:rsidRDefault="006E38ED" w:rsidP="006E38ED">
      <w:pPr>
        <w:tabs>
          <w:tab w:val="left" w:pos="2940"/>
        </w:tabs>
        <w:spacing w:line="360" w:lineRule="auto"/>
        <w:jc w:val="both"/>
        <w:rPr>
          <w:rFonts w:ascii="Cambria" w:hAnsi="Cambria"/>
        </w:rPr>
      </w:pPr>
      <w:r w:rsidRPr="006E38ED">
        <w:rPr>
          <w:rFonts w:ascii="Cambria" w:hAnsi="Cambria"/>
        </w:rPr>
        <w:t>Dari sudut pandang hukum, bukti yang dikumpulkan melalui studi lapangan, tes laboratorium, dan kesaksian komunitas mendukung bahwa aktivitas PT Eco Green memenuhi kriteria tanggung jawab pidana menurut hukum Indonesia. Prinsip tanggung jawab mutlak mengurangi kebutuhan untuk membuktikan niat, dan memprioritaskan kerugian yang dapat dibuktikan yang disebabkan oleh perusahaan. Baik entitas korporasi maupun pejabat yang bertanggung jawab dapat dikenai tuntutan hukum karena melanggar standar lingkungan, yang sesuai dengan norma internasional terkait kejahatan lingkungan korporasi. Namun, analisis juga mengungkapkan bahwa ketentuan hukum ini belum menghasilkan efek jera yang kuat, sebagian karena tantangan dalam penegakan dan kerentanan terhadap campur tangan eksternal.</w:t>
      </w:r>
    </w:p>
    <w:p w14:paraId="68D400D9" w14:textId="2D40483F" w:rsidR="00DB230A" w:rsidRDefault="006E38ED" w:rsidP="006E38ED">
      <w:pPr>
        <w:tabs>
          <w:tab w:val="left" w:pos="2940"/>
        </w:tabs>
        <w:spacing w:line="360" w:lineRule="auto"/>
        <w:jc w:val="both"/>
        <w:rPr>
          <w:rFonts w:ascii="Cambria" w:hAnsi="Cambria"/>
        </w:rPr>
      </w:pPr>
      <w:r w:rsidRPr="006E38ED">
        <w:rPr>
          <w:rFonts w:ascii="Cambria" w:hAnsi="Cambria"/>
        </w:rPr>
        <w:t>Untuk mengatasi kekurangan ini dan memenuhi tujuan perlindungan lingkungan, beberapa perbaikan strategis diperlukan. Ini termasuk meningkatkan kapasitas teknis untuk memantau dan menyelidiki kasus polusi, mem</w:t>
      </w:r>
      <w:bookmarkStart w:id="0" w:name="_GoBack"/>
      <w:bookmarkEnd w:id="0"/>
      <w:r w:rsidRPr="006E38ED">
        <w:rPr>
          <w:rFonts w:ascii="Cambria" w:hAnsi="Cambria"/>
        </w:rPr>
        <w:t xml:space="preserve">perkuat kolaborasi antar lembaga, memperkuat perlindungan bagi pelapor pelanggaran, dan meningkatkan transparansi dalam proses penuntutan. Pengawasan publik yang efektif dan partisipasi komunitas sangat penting untuk memastikan hukum ditegakkan dan pelaku bertanggung jawab. Secara keseluruhan, studi ini memberikan pengingat penting bahwa tanggung jawab pidana harus didukung oleh undang-undang yang kuat dan praktik penegakan hukum yang andal untuk mencapai keadilan lingkungan yang sejati dan menjaga kesejahteraan penduduk di Pekanbaru dan sekitarnya. </w:t>
      </w:r>
    </w:p>
    <w:p w14:paraId="6E3B9343" w14:textId="56C0F0AF" w:rsidR="0069072D" w:rsidRPr="0069072D" w:rsidRDefault="0069072D" w:rsidP="0069072D">
      <w:pPr>
        <w:tabs>
          <w:tab w:val="left" w:pos="2940"/>
        </w:tabs>
        <w:jc w:val="both"/>
        <w:rPr>
          <w:rFonts w:ascii="Cambria" w:hAnsi="Cambria"/>
          <w:b/>
          <w:bCs/>
        </w:rPr>
      </w:pPr>
      <w:r w:rsidRPr="0069072D">
        <w:rPr>
          <w:rFonts w:ascii="Cambria" w:hAnsi="Cambria"/>
          <w:b/>
          <w:bCs/>
        </w:rPr>
        <w:lastRenderedPageBreak/>
        <w:t>REFERENSI</w:t>
      </w:r>
    </w:p>
    <w:p w14:paraId="4FB351E6" w14:textId="7AE09941"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Pr>
          <w:rFonts w:ascii="Cambria" w:hAnsi="Cambria"/>
        </w:rPr>
        <w:fldChar w:fldCharType="begin" w:fldLock="1"/>
      </w:r>
      <w:r>
        <w:rPr>
          <w:rFonts w:ascii="Cambria" w:hAnsi="Cambria"/>
        </w:rPr>
        <w:instrText xml:space="preserve">ADDIN Mendeley Bibliography CSL_BIBLIOGRAPHY </w:instrText>
      </w:r>
      <w:r>
        <w:rPr>
          <w:rFonts w:ascii="Cambria" w:hAnsi="Cambria"/>
        </w:rPr>
        <w:fldChar w:fldCharType="separate"/>
      </w:r>
      <w:r w:rsidRPr="000B7E76">
        <w:rPr>
          <w:rFonts w:ascii="Cambria" w:hAnsi="Cambria" w:cs="Times New Roman"/>
          <w:noProof/>
          <w:kern w:val="0"/>
        </w:rPr>
        <w:t xml:space="preserve">Abdurrachman, H., Hamzani, A. I., &amp; Mariyono, J. (2021). Kejahatan lingkungan dan penegakan hukum di Indonesia: Beberapa refleksi tentang pendekatan yang kontraproduktif. </w:t>
      </w:r>
      <w:r w:rsidRPr="000B7E76">
        <w:rPr>
          <w:rFonts w:ascii="Cambria" w:hAnsi="Cambria" w:cs="Times New Roman"/>
          <w:i/>
          <w:iCs/>
          <w:noProof/>
          <w:kern w:val="0"/>
        </w:rPr>
        <w:t>Kebijakan dan Hukum Lingkungan</w:t>
      </w:r>
      <w:r w:rsidRPr="000B7E76">
        <w:rPr>
          <w:rFonts w:ascii="Cambria" w:hAnsi="Cambria" w:cs="Times New Roman"/>
          <w:noProof/>
          <w:kern w:val="0"/>
        </w:rPr>
        <w:t xml:space="preserve">, </w:t>
      </w:r>
      <w:r w:rsidRPr="000B7E76">
        <w:rPr>
          <w:rFonts w:ascii="Cambria" w:hAnsi="Cambria" w:cs="Times New Roman"/>
          <w:i/>
          <w:iCs/>
          <w:noProof/>
          <w:kern w:val="0"/>
        </w:rPr>
        <w:t>51</w:t>
      </w:r>
      <w:r w:rsidRPr="000B7E76">
        <w:rPr>
          <w:rFonts w:ascii="Cambria" w:hAnsi="Cambria" w:cs="Times New Roman"/>
          <w:noProof/>
          <w:kern w:val="0"/>
        </w:rPr>
        <w:t>(6), 409–416. https://doi.org/10.3233/EPL-210024</w:t>
      </w:r>
    </w:p>
    <w:p w14:paraId="2D59B81A" w14:textId="3D635525"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Alauddin, R., Arsad, J. H., Dp, A. A., Faisal, F., Ratnaningsih, M., &amp; Rustam, M. (2024). Tantangan dan Peluang Penegakan Hukum Lingkungan: Tinjauan Sistematis. </w:t>
      </w:r>
      <w:r w:rsidRPr="000B7E76">
        <w:rPr>
          <w:rFonts w:ascii="Cambria" w:hAnsi="Cambria" w:cs="Times New Roman"/>
          <w:i/>
          <w:iCs/>
          <w:noProof/>
          <w:kern w:val="0"/>
        </w:rPr>
        <w:t>TRANSAKSI WSEAS TENTANG LINGKUNGAN DAN PEMBANGUNAN</w:t>
      </w:r>
      <w:r w:rsidRPr="000B7E76">
        <w:rPr>
          <w:rFonts w:ascii="Cambria" w:hAnsi="Cambria" w:cs="Times New Roman"/>
          <w:noProof/>
          <w:kern w:val="0"/>
        </w:rPr>
        <w:t xml:space="preserve">, </w:t>
      </w:r>
      <w:r w:rsidRPr="000B7E76">
        <w:rPr>
          <w:rFonts w:ascii="Cambria" w:hAnsi="Cambria" w:cs="Times New Roman"/>
          <w:i/>
          <w:iCs/>
          <w:noProof/>
          <w:kern w:val="0"/>
        </w:rPr>
        <w:t>20</w:t>
      </w:r>
      <w:r w:rsidRPr="000B7E76">
        <w:rPr>
          <w:rFonts w:ascii="Cambria" w:hAnsi="Cambria" w:cs="Times New Roman"/>
          <w:noProof/>
          <w:kern w:val="0"/>
        </w:rPr>
        <w:t>, 184–193. https://doi.org/10.37394/232015.2024.20.19</w:t>
      </w:r>
    </w:p>
    <w:p w14:paraId="65F8853A"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Arifin, R., Masyhar, A., Wulandari, C., Kusuma, B. H., Wijayanto, I., Rasdi, &amp; Fikri, S. (2024). Ekosisida sebagai kejahatan serius: Sebuah wacana tentang perlindungan lingkungan global. </w:t>
      </w:r>
      <w:r w:rsidRPr="000B7E76">
        <w:rPr>
          <w:rFonts w:ascii="Cambria" w:hAnsi="Cambria" w:cs="Times New Roman"/>
          <w:i/>
          <w:iCs/>
          <w:noProof/>
          <w:kern w:val="0"/>
        </w:rPr>
        <w:t>Seri Konferensi IOP: Ilmu Bumi dan Lingkungan</w:t>
      </w:r>
      <w:r w:rsidRPr="000B7E76">
        <w:rPr>
          <w:rFonts w:ascii="Cambria" w:hAnsi="Cambria" w:cs="Times New Roman"/>
          <w:noProof/>
          <w:kern w:val="0"/>
        </w:rPr>
        <w:t xml:space="preserve">, </w:t>
      </w:r>
      <w:r w:rsidRPr="000B7E76">
        <w:rPr>
          <w:rFonts w:ascii="Cambria" w:hAnsi="Cambria" w:cs="Times New Roman"/>
          <w:i/>
          <w:iCs/>
          <w:noProof/>
          <w:kern w:val="0"/>
        </w:rPr>
        <w:t>1355</w:t>
      </w:r>
      <w:r w:rsidRPr="000B7E76">
        <w:rPr>
          <w:rFonts w:ascii="Cambria" w:hAnsi="Cambria" w:cs="Times New Roman"/>
          <w:noProof/>
          <w:kern w:val="0"/>
        </w:rPr>
        <w:t>(1), 012004. https://doi.org/10.1088/1755-1315/1355/1/012004</w:t>
      </w:r>
    </w:p>
    <w:p w14:paraId="0A1BDC5D" w14:textId="77777777" w:rsidR="000B7E76" w:rsidRPr="000B7E76" w:rsidRDefault="000B7E76" w:rsidP="00C85B76">
      <w:pPr>
        <w:widowControl w:val="0"/>
        <w:autoSpaceDE w:val="0"/>
        <w:autoSpaceDN w:val="0"/>
        <w:adjustRightInd w:val="0"/>
        <w:spacing w:line="360" w:lineRule="auto"/>
        <w:ind w:left="480" w:hanging="480"/>
        <w:rPr>
          <w:rFonts w:ascii="Cambria" w:hAnsi="Cambria" w:cs="Times New Roman"/>
          <w:noProof/>
          <w:kern w:val="0"/>
        </w:rPr>
      </w:pPr>
      <w:r w:rsidRPr="000B7E76">
        <w:rPr>
          <w:rFonts w:ascii="Cambria" w:hAnsi="Cambria" w:cs="Times New Roman"/>
          <w:noProof/>
          <w:kern w:val="0"/>
        </w:rPr>
        <w:t xml:space="preserve">Castellino, J. (2024). Kejahatan Kolonial, Penghancuran Lingkungan, dan Masyarakat Adat: Peta Jalan menuju Akuntabilitas dan Perlindungan. Dalam </w:t>
      </w:r>
      <w:r w:rsidRPr="000B7E76">
        <w:rPr>
          <w:rFonts w:ascii="Cambria" w:hAnsi="Cambria" w:cs="Times New Roman"/>
          <w:i/>
          <w:iCs/>
          <w:noProof/>
          <w:kern w:val="0"/>
        </w:rPr>
        <w:t>Kalibrasi Kejahatan Kolonial</w:t>
      </w:r>
      <w:r w:rsidRPr="000B7E76">
        <w:rPr>
          <w:rFonts w:ascii="Cambria" w:hAnsi="Cambria" w:cs="Times New Roman"/>
          <w:noProof/>
          <w:kern w:val="0"/>
        </w:rPr>
        <w:t xml:space="preserve"> (hlm. 97–119). Bristol University Press. https://doi.org/10.51952/9781529241884.ch004</w:t>
      </w:r>
    </w:p>
    <w:p w14:paraId="69E18A8A"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Erla Sari Dekiawati. (2022). Penegakan Hukum Penebangan Liar di Indonesia: Masalah dan Tantangan di Saat Ini dan Masa Depan. </w:t>
      </w:r>
      <w:r w:rsidRPr="000B7E76">
        <w:rPr>
          <w:rFonts w:ascii="Cambria" w:hAnsi="Cambria" w:cs="Times New Roman"/>
          <w:i/>
          <w:iCs/>
          <w:noProof/>
          <w:kern w:val="0"/>
        </w:rPr>
        <w:t>Jurnal Hukum Lingkungan dan Pembangunan Berkelanjutan Indonesia</w:t>
      </w:r>
      <w:r w:rsidRPr="000B7E76">
        <w:rPr>
          <w:rFonts w:ascii="Cambria" w:hAnsi="Cambria" w:cs="Times New Roman"/>
          <w:noProof/>
          <w:kern w:val="0"/>
        </w:rPr>
        <w:t xml:space="preserve">, </w:t>
      </w:r>
      <w:r w:rsidRPr="000B7E76">
        <w:rPr>
          <w:rFonts w:ascii="Cambria" w:hAnsi="Cambria" w:cs="Times New Roman"/>
          <w:i/>
          <w:iCs/>
          <w:noProof/>
          <w:kern w:val="0"/>
        </w:rPr>
        <w:t>1</w:t>
      </w:r>
      <w:r w:rsidRPr="000B7E76">
        <w:rPr>
          <w:rFonts w:ascii="Cambria" w:hAnsi="Cambria" w:cs="Times New Roman"/>
          <w:noProof/>
          <w:kern w:val="0"/>
        </w:rPr>
        <w:t>(1), 47–68. https://doi.org/10.15294/ijel.v1i1.21822</w:t>
      </w:r>
    </w:p>
    <w:p w14:paraId="0C8CB72A"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Fajrini, R. (2021). Kerusakan lingkungan dan dekriminalisasi praktik tebas-bakar tradisional di Indonesia. </w:t>
      </w:r>
      <w:r w:rsidRPr="000B7E76">
        <w:rPr>
          <w:rFonts w:ascii="Cambria" w:hAnsi="Cambria" w:cs="Times New Roman"/>
          <w:i/>
          <w:iCs/>
          <w:noProof/>
          <w:kern w:val="0"/>
        </w:rPr>
        <w:t>Jurnal Internasional untuk Kejahatan, Keadilan dan Demokrasi Sosial</w:t>
      </w:r>
      <w:r w:rsidRPr="000B7E76">
        <w:rPr>
          <w:rFonts w:ascii="Cambria" w:hAnsi="Cambria" w:cs="Times New Roman"/>
          <w:noProof/>
          <w:kern w:val="0"/>
        </w:rPr>
        <w:t xml:space="preserve">, </w:t>
      </w:r>
      <w:r w:rsidRPr="000B7E76">
        <w:rPr>
          <w:rFonts w:ascii="Cambria" w:hAnsi="Cambria" w:cs="Times New Roman"/>
          <w:i/>
          <w:iCs/>
          <w:noProof/>
          <w:kern w:val="0"/>
        </w:rPr>
        <w:t>11</w:t>
      </w:r>
      <w:r w:rsidRPr="000B7E76">
        <w:rPr>
          <w:rFonts w:ascii="Cambria" w:hAnsi="Cambria" w:cs="Times New Roman"/>
          <w:noProof/>
          <w:kern w:val="0"/>
        </w:rPr>
        <w:t>(1), 28–43. https://doi.org/10.3316/informit.379398893195786</w:t>
      </w:r>
    </w:p>
    <w:p w14:paraId="0D5B705F"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Gottschalk, P., &amp; Hamerton, C. (2024). Pemulihan Krisis Korporat.  Dalam </w:t>
      </w:r>
      <w:r w:rsidRPr="000B7E76">
        <w:rPr>
          <w:rFonts w:ascii="Cambria" w:hAnsi="Cambria" w:cs="Times New Roman"/>
          <w:i/>
          <w:iCs/>
          <w:noProof/>
          <w:kern w:val="0"/>
        </w:rPr>
        <w:t>pemulihan krisis korporat, mengelola penyimpangan organisasi, reputasi, dan risiko</w:t>
      </w:r>
      <w:r w:rsidRPr="000B7E76">
        <w:rPr>
          <w:rFonts w:ascii="Cambria" w:hAnsi="Cambria" w:cs="Times New Roman"/>
          <w:noProof/>
          <w:kern w:val="0"/>
        </w:rPr>
        <w:t>. Springer Nature Swiss. https://doi.org/10.1007/978-3-031-58835-8</w:t>
      </w:r>
    </w:p>
    <w:p w14:paraId="07F2A323"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Hafrida, H., Kusniati, R., &amp; Monita, Y. (2022). Penahanan sebagai Sanksi Pidana terhadap Korporasi dalam Kejahatan Kehutanan: Bagaimana Mungkin Terjadi? </w:t>
      </w:r>
      <w:r w:rsidRPr="000B7E76">
        <w:rPr>
          <w:rFonts w:ascii="Cambria" w:hAnsi="Cambria" w:cs="Times New Roman"/>
          <w:i/>
          <w:iCs/>
          <w:noProof/>
          <w:kern w:val="0"/>
        </w:rPr>
        <w:t>Hasanuddin Law Review</w:t>
      </w:r>
      <w:r w:rsidRPr="000B7E76">
        <w:rPr>
          <w:rFonts w:ascii="Cambria" w:hAnsi="Cambria" w:cs="Times New Roman"/>
          <w:noProof/>
          <w:kern w:val="0"/>
        </w:rPr>
        <w:t xml:space="preserve">, </w:t>
      </w:r>
      <w:r w:rsidRPr="000B7E76">
        <w:rPr>
          <w:rFonts w:ascii="Cambria" w:hAnsi="Cambria" w:cs="Times New Roman"/>
          <w:i/>
          <w:iCs/>
          <w:noProof/>
          <w:kern w:val="0"/>
        </w:rPr>
        <w:t>8</w:t>
      </w:r>
      <w:r w:rsidRPr="000B7E76">
        <w:rPr>
          <w:rFonts w:ascii="Cambria" w:hAnsi="Cambria" w:cs="Times New Roman"/>
          <w:noProof/>
          <w:kern w:val="0"/>
        </w:rPr>
        <w:t>(2), 160. https://doi.org/10.20956/halrev.v8i2.3187</w:t>
      </w:r>
    </w:p>
    <w:p w14:paraId="02693928"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Hamilton, M. (2021). </w:t>
      </w:r>
      <w:r w:rsidRPr="000B7E76">
        <w:rPr>
          <w:rFonts w:ascii="Cambria" w:hAnsi="Cambria" w:cs="Times New Roman"/>
          <w:i/>
          <w:iCs/>
          <w:noProof/>
          <w:kern w:val="0"/>
        </w:rPr>
        <w:t>Kejahatan Lingkungan dan Keadilan Restoratif</w:t>
      </w:r>
      <w:r w:rsidRPr="000B7E76">
        <w:rPr>
          <w:rFonts w:ascii="Cambria" w:hAnsi="Cambria" w:cs="Times New Roman"/>
          <w:noProof/>
          <w:kern w:val="0"/>
        </w:rPr>
        <w:t>. Penerbitan Internasional Springer. https://doi.org/10.1007/978-3-030-69052-6</w:t>
      </w:r>
    </w:p>
    <w:p w14:paraId="19C252EE"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lastRenderedPageBreak/>
        <w:t xml:space="preserve">Hasyim, Y., &amp; Aprita, S. (2021). Aspek Penegakan Hukum Lingkungan di Indonesia dan Pelaksanaan Perjanjian Internasional di Bidang Lingkungan di Indonesia. </w:t>
      </w:r>
      <w:r w:rsidRPr="000B7E76">
        <w:rPr>
          <w:rFonts w:ascii="Cambria" w:hAnsi="Cambria" w:cs="Times New Roman"/>
          <w:i/>
          <w:iCs/>
          <w:noProof/>
          <w:kern w:val="0"/>
        </w:rPr>
        <w:t>Nurani</w:t>
      </w:r>
      <w:r w:rsidRPr="000B7E76">
        <w:rPr>
          <w:rFonts w:ascii="Cambria" w:hAnsi="Cambria" w:cs="Times New Roman"/>
          <w:noProof/>
          <w:kern w:val="0"/>
        </w:rPr>
        <w:t xml:space="preserve">, </w:t>
      </w:r>
      <w:r w:rsidRPr="000B7E76">
        <w:rPr>
          <w:rFonts w:ascii="Cambria" w:hAnsi="Cambria" w:cs="Times New Roman"/>
          <w:i/>
          <w:iCs/>
          <w:noProof/>
          <w:kern w:val="0"/>
        </w:rPr>
        <w:t>21</w:t>
      </w:r>
      <w:r w:rsidRPr="000B7E76">
        <w:rPr>
          <w:rFonts w:ascii="Cambria" w:hAnsi="Cambria" w:cs="Times New Roman"/>
          <w:noProof/>
          <w:kern w:val="0"/>
        </w:rPr>
        <w:t>(2), 209–218.</w:t>
      </w:r>
    </w:p>
    <w:p w14:paraId="4EF42C0F"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Kotsakis, A., &amp; Boukli, A. (2023). Kerusakan Transversal, Regulasi, dan Toleransi terhadap Bencana Minyak. </w:t>
      </w:r>
      <w:r w:rsidRPr="000B7E76">
        <w:rPr>
          <w:rFonts w:ascii="Cambria" w:hAnsi="Cambria" w:cs="Times New Roman"/>
          <w:i/>
          <w:iCs/>
          <w:noProof/>
          <w:kern w:val="0"/>
        </w:rPr>
        <w:t>Hukum Lingkungan Transnasional</w:t>
      </w:r>
      <w:r w:rsidRPr="000B7E76">
        <w:rPr>
          <w:rFonts w:ascii="Cambria" w:hAnsi="Cambria" w:cs="Times New Roman"/>
          <w:noProof/>
          <w:kern w:val="0"/>
        </w:rPr>
        <w:t xml:space="preserve">, </w:t>
      </w:r>
      <w:r w:rsidRPr="000B7E76">
        <w:rPr>
          <w:rFonts w:ascii="Cambria" w:hAnsi="Cambria" w:cs="Times New Roman"/>
          <w:i/>
          <w:iCs/>
          <w:noProof/>
          <w:kern w:val="0"/>
        </w:rPr>
        <w:t>12</w:t>
      </w:r>
      <w:r w:rsidRPr="000B7E76">
        <w:rPr>
          <w:rFonts w:ascii="Cambria" w:hAnsi="Cambria" w:cs="Times New Roman"/>
          <w:noProof/>
          <w:kern w:val="0"/>
        </w:rPr>
        <w:t>(1), 71–94. https://doi.org/10.1017/S2047102522000346</w:t>
      </w:r>
    </w:p>
    <w:p w14:paraId="084B23C1"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Kyriakakis, J. (2024). Ecocide, Evil, dan Korporasi.  Dalam </w:t>
      </w:r>
      <w:r w:rsidRPr="000B7E76">
        <w:rPr>
          <w:rFonts w:ascii="Cambria" w:hAnsi="Cambria" w:cs="Times New Roman"/>
          <w:i/>
          <w:iCs/>
          <w:noProof/>
          <w:kern w:val="0"/>
        </w:rPr>
        <w:t>Evil Corporations</w:t>
      </w:r>
      <w:r w:rsidRPr="000B7E76">
        <w:rPr>
          <w:rFonts w:ascii="Cambria" w:hAnsi="Cambria" w:cs="Times New Roman"/>
          <w:noProof/>
          <w:kern w:val="0"/>
        </w:rPr>
        <w:t xml:space="preserve"> (hlm. 63–77). Routledge. https://doi.org/10.4324/9781003402534-7</w:t>
      </w:r>
    </w:p>
    <w:p w14:paraId="45A75098"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La Ode Ghondohi, H.M. Said KArim, Muhadar, M., Ali Rahman, &amp; Maratovna, Y. A. (2025). Pemulihan Aset dari Korupsi Pertambangan: Rasionalitas, Urgensi, dan Tantangan dalam Restorasi Lingkungan. </w:t>
      </w:r>
      <w:r w:rsidRPr="000B7E76">
        <w:rPr>
          <w:rFonts w:ascii="Cambria" w:hAnsi="Cambria" w:cs="Times New Roman"/>
          <w:i/>
          <w:iCs/>
          <w:noProof/>
          <w:kern w:val="0"/>
        </w:rPr>
        <w:t>Jurnal Hukum, Lingkungan dan Keadilan</w:t>
      </w:r>
      <w:r w:rsidRPr="000B7E76">
        <w:rPr>
          <w:rFonts w:ascii="Cambria" w:hAnsi="Cambria" w:cs="Times New Roman"/>
          <w:noProof/>
          <w:kern w:val="0"/>
        </w:rPr>
        <w:t xml:space="preserve">, </w:t>
      </w:r>
      <w:r w:rsidRPr="000B7E76">
        <w:rPr>
          <w:rFonts w:ascii="Cambria" w:hAnsi="Cambria" w:cs="Times New Roman"/>
          <w:i/>
          <w:iCs/>
          <w:noProof/>
          <w:kern w:val="0"/>
        </w:rPr>
        <w:t>3</w:t>
      </w:r>
      <w:r w:rsidRPr="000B7E76">
        <w:rPr>
          <w:rFonts w:ascii="Cambria" w:hAnsi="Cambria" w:cs="Times New Roman"/>
          <w:noProof/>
          <w:kern w:val="0"/>
        </w:rPr>
        <w:t>(2), 446–475. https://doi.org/10.62264/jlej.v3i2.172</w:t>
      </w:r>
    </w:p>
    <w:p w14:paraId="3ECBBAE0"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Lynch, M. J., &amp; Long, M. A. (2022). Kriminologi Hijau: Kapitalisme, Kejahatan dan Keadilan Hijau, serta Penghancuran Lingkungan. </w:t>
      </w:r>
      <w:r w:rsidRPr="000B7E76">
        <w:rPr>
          <w:rFonts w:ascii="Cambria" w:hAnsi="Cambria" w:cs="Times New Roman"/>
          <w:i/>
          <w:iCs/>
          <w:noProof/>
          <w:kern w:val="0"/>
        </w:rPr>
        <w:t>Tinjauan Tahunan Kriminologi</w:t>
      </w:r>
      <w:r w:rsidRPr="000B7E76">
        <w:rPr>
          <w:rFonts w:ascii="Cambria" w:hAnsi="Cambria" w:cs="Times New Roman"/>
          <w:noProof/>
          <w:kern w:val="0"/>
        </w:rPr>
        <w:t xml:space="preserve">, </w:t>
      </w:r>
      <w:r w:rsidRPr="000B7E76">
        <w:rPr>
          <w:rFonts w:ascii="Cambria" w:hAnsi="Cambria" w:cs="Times New Roman"/>
          <w:i/>
          <w:iCs/>
          <w:noProof/>
          <w:kern w:val="0"/>
        </w:rPr>
        <w:t>5</w:t>
      </w:r>
      <w:r w:rsidRPr="000B7E76">
        <w:rPr>
          <w:rFonts w:ascii="Cambria" w:hAnsi="Cambria" w:cs="Times New Roman"/>
          <w:noProof/>
          <w:kern w:val="0"/>
        </w:rPr>
        <w:t>(1), 255–276. https://doi.org/10.1146/annurev-criminol-030920-114647</w:t>
      </w:r>
    </w:p>
    <w:p w14:paraId="28CCED2E"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Mangkunegara, R. A. (2024). Analisis Yuidis Penegakan Hukum Pidana Kehutanan oleh Korporasi dalam Kerangka Fiqh Lingkungan. </w:t>
      </w:r>
      <w:r w:rsidRPr="000B7E76">
        <w:rPr>
          <w:rFonts w:ascii="Cambria" w:hAnsi="Cambria" w:cs="Times New Roman"/>
          <w:i/>
          <w:iCs/>
          <w:noProof/>
          <w:kern w:val="0"/>
        </w:rPr>
        <w:t>Nurani: Jurnal Kajian Syari'ah Dan Masyarakat</w:t>
      </w:r>
      <w:r w:rsidRPr="000B7E76">
        <w:rPr>
          <w:rFonts w:ascii="Cambria" w:hAnsi="Cambria" w:cs="Times New Roman"/>
          <w:noProof/>
          <w:kern w:val="0"/>
        </w:rPr>
        <w:t xml:space="preserve">, </w:t>
      </w:r>
      <w:r w:rsidRPr="000B7E76">
        <w:rPr>
          <w:rFonts w:ascii="Cambria" w:hAnsi="Cambria" w:cs="Times New Roman"/>
          <w:i/>
          <w:iCs/>
          <w:noProof/>
          <w:kern w:val="0"/>
        </w:rPr>
        <w:t>24</w:t>
      </w:r>
      <w:r w:rsidRPr="000B7E76">
        <w:rPr>
          <w:rFonts w:ascii="Cambria" w:hAnsi="Cambria" w:cs="Times New Roman"/>
          <w:noProof/>
          <w:kern w:val="0"/>
        </w:rPr>
        <w:t>(1), 235–252. https://doi.org/10.19109/nurani.v24i1.23115</w:t>
      </w:r>
    </w:p>
    <w:p w14:paraId="58B3D454"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Maskun, M., Violetta, K. V., Mukhlis, M. M., Normiati, N., &amp; Tajuddin, M. S. (2025). Dilema sanksi administratif dalam legalisasi perkebunan minyak sawit di wilayah hutan Indonesia. </w:t>
      </w:r>
      <w:r w:rsidRPr="000B7E76">
        <w:rPr>
          <w:rFonts w:ascii="Cambria" w:hAnsi="Cambria" w:cs="Times New Roman"/>
          <w:i/>
          <w:iCs/>
          <w:noProof/>
          <w:kern w:val="0"/>
        </w:rPr>
        <w:t>Volksgeist: Jurnal Ilmu Hukum dan Konstitusi</w:t>
      </w:r>
      <w:r w:rsidRPr="000B7E76">
        <w:rPr>
          <w:rFonts w:ascii="Cambria" w:hAnsi="Cambria" w:cs="Times New Roman"/>
          <w:noProof/>
          <w:kern w:val="0"/>
        </w:rPr>
        <w:t xml:space="preserve">, </w:t>
      </w:r>
      <w:r w:rsidRPr="000B7E76">
        <w:rPr>
          <w:rFonts w:ascii="Cambria" w:hAnsi="Cambria" w:cs="Times New Roman"/>
          <w:i/>
          <w:iCs/>
          <w:noProof/>
          <w:kern w:val="0"/>
        </w:rPr>
        <w:t>8</w:t>
      </w:r>
      <w:r w:rsidRPr="000B7E76">
        <w:rPr>
          <w:rFonts w:ascii="Cambria" w:hAnsi="Cambria" w:cs="Times New Roman"/>
          <w:noProof/>
          <w:kern w:val="0"/>
        </w:rPr>
        <w:t>(1), 171–190. https://doi.org/10.24090/volksgeist.v8i1.13114</w:t>
      </w:r>
    </w:p>
    <w:p w14:paraId="05E57376"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Perawat, A. (2022). Perspektif Kontemporer tentang Penegakan Lingkungan. </w:t>
      </w:r>
      <w:r w:rsidRPr="000B7E76">
        <w:rPr>
          <w:rFonts w:ascii="Cambria" w:hAnsi="Cambria" w:cs="Times New Roman"/>
          <w:i/>
          <w:iCs/>
          <w:noProof/>
          <w:kern w:val="0"/>
        </w:rPr>
        <w:t>Jurnal Internasional Terapi Pelanggar dan Kriminologi Komparatif</w:t>
      </w:r>
      <w:r w:rsidRPr="000B7E76">
        <w:rPr>
          <w:rFonts w:ascii="Cambria" w:hAnsi="Cambria" w:cs="Times New Roman"/>
          <w:noProof/>
          <w:kern w:val="0"/>
        </w:rPr>
        <w:t xml:space="preserve">, </w:t>
      </w:r>
      <w:r w:rsidRPr="000B7E76">
        <w:rPr>
          <w:rFonts w:ascii="Cambria" w:hAnsi="Cambria" w:cs="Times New Roman"/>
          <w:i/>
          <w:iCs/>
          <w:noProof/>
          <w:kern w:val="0"/>
        </w:rPr>
        <w:t>66</w:t>
      </w:r>
      <w:r w:rsidRPr="000B7E76">
        <w:rPr>
          <w:rFonts w:ascii="Cambria" w:hAnsi="Cambria" w:cs="Times New Roman"/>
          <w:noProof/>
          <w:kern w:val="0"/>
        </w:rPr>
        <w:t>(4), 327–344. https://doi.org/10.1177/0306624X20964037</w:t>
      </w:r>
    </w:p>
    <w:p w14:paraId="4E8B1A48" w14:textId="3DC1776F"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Prakasa, S. U. W. (2021). Kejahatan Ekosida &amp; Hukum Omnibus: Tinjauan Hukum Internasional dan Implikasinya terhadap Hukum Indonesia. </w:t>
      </w:r>
      <w:r w:rsidRPr="000B7E76">
        <w:rPr>
          <w:rFonts w:ascii="Cambria" w:hAnsi="Cambria" w:cs="Times New Roman"/>
          <w:i/>
          <w:iCs/>
          <w:noProof/>
          <w:kern w:val="0"/>
        </w:rPr>
        <w:t>Jurnal Dinamika HAM (Jurnal Hak Asasi Manusia),</w:t>
      </w:r>
      <w:r w:rsidRPr="000B7E76">
        <w:rPr>
          <w:rFonts w:ascii="Cambria" w:hAnsi="Cambria" w:cs="Times New Roman"/>
          <w:noProof/>
          <w:kern w:val="0"/>
        </w:rPr>
        <w:t xml:space="preserve"> </w:t>
      </w:r>
      <w:r w:rsidRPr="000B7E76">
        <w:rPr>
          <w:rFonts w:ascii="Cambria" w:hAnsi="Cambria" w:cs="Times New Roman"/>
          <w:i/>
          <w:iCs/>
          <w:noProof/>
          <w:kern w:val="0"/>
        </w:rPr>
        <w:t>12</w:t>
      </w:r>
      <w:r w:rsidRPr="000B7E76">
        <w:rPr>
          <w:rFonts w:ascii="Cambria" w:hAnsi="Cambria" w:cs="Times New Roman"/>
          <w:noProof/>
          <w:kern w:val="0"/>
        </w:rPr>
        <w:t>(2), 14. https://doi.org/10.24123/jdh.v12i2.2898</w:t>
      </w:r>
    </w:p>
    <w:p w14:paraId="497C20A3"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Priyatno, D., Kamilah, A., &amp; Mulyana, A. (2023). Kejahatan korporasi dalam merebut hak tanah melalui intimidasi dan kriminalisasi. </w:t>
      </w:r>
      <w:r w:rsidRPr="000B7E76">
        <w:rPr>
          <w:rFonts w:ascii="Cambria" w:hAnsi="Cambria" w:cs="Times New Roman"/>
          <w:i/>
          <w:iCs/>
          <w:noProof/>
          <w:kern w:val="0"/>
        </w:rPr>
        <w:t>Ilmu Sosial yang Koheren</w:t>
      </w:r>
      <w:r w:rsidRPr="000B7E76">
        <w:rPr>
          <w:rFonts w:ascii="Cambria" w:hAnsi="Cambria" w:cs="Times New Roman"/>
          <w:noProof/>
          <w:kern w:val="0"/>
        </w:rPr>
        <w:t xml:space="preserve">, </w:t>
      </w:r>
      <w:r w:rsidRPr="000B7E76">
        <w:rPr>
          <w:rFonts w:ascii="Cambria" w:hAnsi="Cambria" w:cs="Times New Roman"/>
          <w:i/>
          <w:iCs/>
          <w:noProof/>
          <w:kern w:val="0"/>
        </w:rPr>
        <w:t>9</w:t>
      </w:r>
      <w:r w:rsidRPr="000B7E76">
        <w:rPr>
          <w:rFonts w:ascii="Cambria" w:hAnsi="Cambria" w:cs="Times New Roman"/>
          <w:noProof/>
          <w:kern w:val="0"/>
        </w:rPr>
        <w:t>(1). https://doi.org/10.1080/23311886.2023.2187739</w:t>
      </w:r>
    </w:p>
    <w:p w14:paraId="39FCD6F2"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lastRenderedPageBreak/>
        <w:t xml:space="preserve">Ribeiro, L. G. G. (2024). Dialog Antara Kriminologi Hijau, Hukum Pidana, dan Perlindungan Lingkungan Viromental: Memperluas Tujuan Kriminologi dan Apa yang Dapat Ditawarkan Hukum Pidana. </w:t>
      </w:r>
      <w:r w:rsidRPr="000B7E76">
        <w:rPr>
          <w:rFonts w:ascii="Cambria" w:hAnsi="Cambria" w:cs="Times New Roman"/>
          <w:i/>
          <w:iCs/>
          <w:noProof/>
          <w:kern w:val="0"/>
        </w:rPr>
        <w:t>Veredas do Direito Direito Ambiental e Desenvolvimento Sustentável</w:t>
      </w:r>
      <w:r w:rsidRPr="000B7E76">
        <w:rPr>
          <w:rFonts w:ascii="Cambria" w:hAnsi="Cambria" w:cs="Times New Roman"/>
          <w:noProof/>
          <w:kern w:val="0"/>
        </w:rPr>
        <w:t xml:space="preserve">, </w:t>
      </w:r>
      <w:r w:rsidRPr="000B7E76">
        <w:rPr>
          <w:rFonts w:ascii="Cambria" w:hAnsi="Cambria" w:cs="Times New Roman"/>
          <w:i/>
          <w:iCs/>
          <w:noProof/>
          <w:kern w:val="0"/>
        </w:rPr>
        <w:t>21</w:t>
      </w:r>
      <w:r w:rsidRPr="000B7E76">
        <w:rPr>
          <w:rFonts w:ascii="Cambria" w:hAnsi="Cambria" w:cs="Times New Roman"/>
          <w:noProof/>
          <w:kern w:val="0"/>
        </w:rPr>
        <w:t>. https://doi.org/10.18623/rvd.v21.2706-ing</w:t>
      </w:r>
    </w:p>
    <w:p w14:paraId="33CED190" w14:textId="3D120509" w:rsidR="000B7E76" w:rsidRPr="000B7E76" w:rsidRDefault="000B7E76" w:rsidP="008D11E4">
      <w:pPr>
        <w:widowControl w:val="0"/>
        <w:autoSpaceDE w:val="0"/>
        <w:autoSpaceDN w:val="0"/>
        <w:adjustRightInd w:val="0"/>
        <w:spacing w:line="360" w:lineRule="auto"/>
        <w:ind w:left="480" w:hanging="480"/>
        <w:rPr>
          <w:rFonts w:ascii="Cambria" w:hAnsi="Cambria" w:cs="Times New Roman"/>
          <w:noProof/>
          <w:kern w:val="0"/>
        </w:rPr>
      </w:pPr>
      <w:r w:rsidRPr="000B7E76">
        <w:rPr>
          <w:rFonts w:ascii="Cambria" w:hAnsi="Cambria" w:cs="Times New Roman"/>
          <w:noProof/>
          <w:kern w:val="0"/>
        </w:rPr>
        <w:t xml:space="preserve">Rudall, J. (2024). Tanggung Jawab atas Kerusakan Lingkungan. Bertanggung </w:t>
      </w:r>
      <w:r w:rsidRPr="000B7E76">
        <w:rPr>
          <w:rFonts w:ascii="Cambria" w:hAnsi="Cambria" w:cs="Times New Roman"/>
          <w:i/>
          <w:iCs/>
          <w:noProof/>
          <w:kern w:val="0"/>
        </w:rPr>
        <w:t>Jawab atas kerusakan lingkungan</w:t>
      </w:r>
      <w:r w:rsidRPr="000B7E76">
        <w:rPr>
          <w:rFonts w:ascii="Cambria" w:hAnsi="Cambria" w:cs="Times New Roman"/>
          <w:noProof/>
          <w:kern w:val="0"/>
        </w:rPr>
        <w:t>. Edward Elgar Publishing.</w:t>
      </w:r>
      <w:r w:rsidR="008D11E4">
        <w:rPr>
          <w:rFonts w:ascii="Cambria" w:hAnsi="Cambria" w:cs="Times New Roman"/>
          <w:noProof/>
          <w:kern w:val="0"/>
        </w:rPr>
        <w:t xml:space="preserve"> </w:t>
      </w:r>
      <w:r w:rsidRPr="000B7E76">
        <w:rPr>
          <w:rFonts w:ascii="Cambria" w:hAnsi="Cambria" w:cs="Times New Roman"/>
          <w:noProof/>
          <w:kern w:val="0"/>
        </w:rPr>
        <w:t>https://doi.org/10.4337/9781803920719</w:t>
      </w:r>
    </w:p>
    <w:p w14:paraId="204A5E60"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Salim, A., &amp; Palullungan, L. (2021). Tantangan penegakan hukum lingkungan untuk menerapkan SDGs di Indonesia. </w:t>
      </w:r>
      <w:r w:rsidRPr="000B7E76">
        <w:rPr>
          <w:rFonts w:ascii="Cambria" w:hAnsi="Cambria" w:cs="Times New Roman"/>
          <w:i/>
          <w:iCs/>
          <w:noProof/>
          <w:kern w:val="0"/>
        </w:rPr>
        <w:t>International Journal of Criminology and Sociology, 2021, 10</w:t>
      </w:r>
      <w:r w:rsidRPr="000B7E76">
        <w:rPr>
          <w:rFonts w:ascii="Cambria" w:hAnsi="Cambria" w:cs="Times New Roman"/>
          <w:noProof/>
          <w:kern w:val="0"/>
        </w:rPr>
        <w:t>, 517–524.</w:t>
      </w:r>
    </w:p>
    <w:p w14:paraId="60135347"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Setiawan, D., Marbun, W., &amp; Patramijaya, A. (2024). Tanggung Jawab Pidana Korporasi dalam Kejahatan Polusi Lingkungan. </w:t>
      </w:r>
      <w:r w:rsidRPr="000B7E76">
        <w:rPr>
          <w:rFonts w:ascii="Cambria" w:hAnsi="Cambria" w:cs="Times New Roman"/>
          <w:i/>
          <w:iCs/>
          <w:noProof/>
          <w:kern w:val="0"/>
        </w:rPr>
        <w:t>Jurnal JILPR Indonesia Law and Policy Review</w:t>
      </w:r>
      <w:r w:rsidRPr="000B7E76">
        <w:rPr>
          <w:rFonts w:ascii="Cambria" w:hAnsi="Cambria" w:cs="Times New Roman"/>
          <w:noProof/>
          <w:kern w:val="0"/>
        </w:rPr>
        <w:t xml:space="preserve">, </w:t>
      </w:r>
      <w:r w:rsidRPr="000B7E76">
        <w:rPr>
          <w:rFonts w:ascii="Cambria" w:hAnsi="Cambria" w:cs="Times New Roman"/>
          <w:i/>
          <w:iCs/>
          <w:noProof/>
          <w:kern w:val="0"/>
        </w:rPr>
        <w:t>5</w:t>
      </w:r>
      <w:r w:rsidRPr="000B7E76">
        <w:rPr>
          <w:rFonts w:ascii="Cambria" w:hAnsi="Cambria" w:cs="Times New Roman"/>
          <w:noProof/>
          <w:kern w:val="0"/>
        </w:rPr>
        <w:t>(3), 511–520. https://doi.org/10.56371/jirpl.v5i3.274</w:t>
      </w:r>
    </w:p>
    <w:p w14:paraId="606EB2CB"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Setiyono, J., &amp; Natalis, A. (2021). Ekosida sebagai Pelanggaran Hak Asasi Manusia Serius: Studi tentang Kasus Polusi Sungai oleh Industri Minyak Sawit di Indonesia. </w:t>
      </w:r>
      <w:r w:rsidRPr="000B7E76">
        <w:rPr>
          <w:rFonts w:ascii="Cambria" w:hAnsi="Cambria" w:cs="Times New Roman"/>
          <w:i/>
          <w:iCs/>
          <w:noProof/>
          <w:kern w:val="0"/>
        </w:rPr>
        <w:t>Jurnal Internasional Pembangunan dan Perencanaan Berkelanjutan</w:t>
      </w:r>
      <w:r w:rsidRPr="000B7E76">
        <w:rPr>
          <w:rFonts w:ascii="Cambria" w:hAnsi="Cambria" w:cs="Times New Roman"/>
          <w:noProof/>
          <w:kern w:val="0"/>
        </w:rPr>
        <w:t xml:space="preserve">, </w:t>
      </w:r>
      <w:r w:rsidRPr="000B7E76">
        <w:rPr>
          <w:rFonts w:ascii="Cambria" w:hAnsi="Cambria" w:cs="Times New Roman"/>
          <w:i/>
          <w:iCs/>
          <w:noProof/>
          <w:kern w:val="0"/>
        </w:rPr>
        <w:t>16</w:t>
      </w:r>
      <w:r w:rsidRPr="000B7E76">
        <w:rPr>
          <w:rFonts w:ascii="Cambria" w:hAnsi="Cambria" w:cs="Times New Roman"/>
          <w:noProof/>
          <w:kern w:val="0"/>
        </w:rPr>
        <w:t>(8), 1465–1471. https://doi.org/10.18280/ijsdp.160807</w:t>
      </w:r>
    </w:p>
    <w:p w14:paraId="11CDF415"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cs="Times New Roman"/>
          <w:noProof/>
          <w:kern w:val="0"/>
        </w:rPr>
      </w:pPr>
      <w:r w:rsidRPr="000B7E76">
        <w:rPr>
          <w:rFonts w:ascii="Cambria" w:hAnsi="Cambria" w:cs="Times New Roman"/>
          <w:noProof/>
          <w:kern w:val="0"/>
        </w:rPr>
        <w:t xml:space="preserve">T. Riza Zarzani, Ismaidar Ismaidar, &amp; Mula Sihombing. (2024). Tanggung Jawab Pidana Korporasi dalam Kejahatan Polusi Lingkungan. </w:t>
      </w:r>
      <w:r w:rsidRPr="000B7E76">
        <w:rPr>
          <w:rFonts w:ascii="Cambria" w:hAnsi="Cambria" w:cs="Times New Roman"/>
          <w:i/>
          <w:iCs/>
          <w:noProof/>
          <w:kern w:val="0"/>
        </w:rPr>
        <w:t>International Journal of Sociology and Law</w:t>
      </w:r>
      <w:r w:rsidRPr="000B7E76">
        <w:rPr>
          <w:rFonts w:ascii="Cambria" w:hAnsi="Cambria" w:cs="Times New Roman"/>
          <w:noProof/>
          <w:kern w:val="0"/>
        </w:rPr>
        <w:t xml:space="preserve">, </w:t>
      </w:r>
      <w:r w:rsidRPr="000B7E76">
        <w:rPr>
          <w:rFonts w:ascii="Cambria" w:hAnsi="Cambria" w:cs="Times New Roman"/>
          <w:i/>
          <w:iCs/>
          <w:noProof/>
          <w:kern w:val="0"/>
        </w:rPr>
        <w:t>1</w:t>
      </w:r>
      <w:r w:rsidRPr="000B7E76">
        <w:rPr>
          <w:rFonts w:ascii="Cambria" w:hAnsi="Cambria" w:cs="Times New Roman"/>
          <w:noProof/>
          <w:kern w:val="0"/>
        </w:rPr>
        <w:t>(3), 31–40. https://doi.org/10.62951/ijsl.v1i3.101</w:t>
      </w:r>
    </w:p>
    <w:p w14:paraId="25199768" w14:textId="77777777" w:rsidR="000B7E76" w:rsidRPr="000B7E76" w:rsidRDefault="000B7E76" w:rsidP="000B7E76">
      <w:pPr>
        <w:widowControl w:val="0"/>
        <w:autoSpaceDE w:val="0"/>
        <w:autoSpaceDN w:val="0"/>
        <w:adjustRightInd w:val="0"/>
        <w:spacing w:line="360" w:lineRule="auto"/>
        <w:ind w:left="480" w:hanging="480"/>
        <w:jc w:val="both"/>
        <w:rPr>
          <w:rFonts w:ascii="Cambria" w:hAnsi="Cambria"/>
          <w:noProof/>
        </w:rPr>
      </w:pPr>
      <w:r w:rsidRPr="000B7E76">
        <w:rPr>
          <w:rFonts w:ascii="Cambria" w:hAnsi="Cambria" w:cs="Times New Roman"/>
          <w:noProof/>
          <w:kern w:val="0"/>
        </w:rPr>
        <w:t xml:space="preserve">Vegh Weis, V. (2024). Victimologi Hijau Selatan: Melihat Siklus Kerusakan Lingkungan, Perlawanan, dan Kriminalisasi Berlebihan. </w:t>
      </w:r>
      <w:r w:rsidRPr="000B7E76">
        <w:rPr>
          <w:rFonts w:ascii="Cambria" w:hAnsi="Cambria" w:cs="Times New Roman"/>
          <w:i/>
          <w:iCs/>
          <w:noProof/>
          <w:kern w:val="0"/>
        </w:rPr>
        <w:t>Dalam Hukuman di Amerika Latin: Eksplorasi dari Pinggiran</w:t>
      </w:r>
      <w:r w:rsidRPr="000B7E76">
        <w:rPr>
          <w:rFonts w:ascii="Cambria" w:hAnsi="Cambria" w:cs="Times New Roman"/>
          <w:noProof/>
          <w:kern w:val="0"/>
        </w:rPr>
        <w:t xml:space="preserve"> (hlm. 201–218). Emerald Publishing Limited. https://doi.org/10.1108/978-1-83797-328-620241011</w:t>
      </w:r>
    </w:p>
    <w:p w14:paraId="16F3342A" w14:textId="0DA3BD81" w:rsidR="00F24218" w:rsidRDefault="000B7E76" w:rsidP="000B7E76">
      <w:pPr>
        <w:tabs>
          <w:tab w:val="left" w:pos="2940"/>
        </w:tabs>
        <w:spacing w:line="360" w:lineRule="auto"/>
        <w:jc w:val="both"/>
        <w:rPr>
          <w:rFonts w:ascii="Cambria" w:hAnsi="Cambria"/>
        </w:rPr>
      </w:pPr>
      <w:r>
        <w:rPr>
          <w:rFonts w:ascii="Cambria" w:hAnsi="Cambria"/>
        </w:rPr>
        <w:fldChar w:fldCharType="end"/>
      </w:r>
    </w:p>
    <w:p w14:paraId="2370FD12" w14:textId="77777777" w:rsidR="00F24218" w:rsidRDefault="00F24218" w:rsidP="00CA0A6D">
      <w:pPr>
        <w:tabs>
          <w:tab w:val="left" w:pos="2940"/>
        </w:tabs>
        <w:spacing w:line="360" w:lineRule="auto"/>
        <w:jc w:val="both"/>
        <w:rPr>
          <w:rFonts w:ascii="Cambria" w:hAnsi="Cambria"/>
        </w:rPr>
      </w:pPr>
    </w:p>
    <w:p w14:paraId="3DFDB373" w14:textId="30287C1D" w:rsidR="00F24218" w:rsidRPr="0069072D" w:rsidRDefault="00F24218" w:rsidP="00CA0A6D">
      <w:pPr>
        <w:tabs>
          <w:tab w:val="left" w:pos="2940"/>
        </w:tabs>
        <w:spacing w:line="360" w:lineRule="auto"/>
        <w:jc w:val="both"/>
        <w:rPr>
          <w:rFonts w:ascii="Cambria" w:hAnsi="Cambria"/>
        </w:rPr>
      </w:pPr>
    </w:p>
    <w:sectPr w:rsidR="00F24218" w:rsidRPr="0069072D" w:rsidSect="004337B3">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170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6A5AF0" w14:textId="77777777" w:rsidR="00183F11" w:rsidRDefault="00183F11" w:rsidP="00AE5AD7">
      <w:pPr>
        <w:spacing w:after="0" w:line="240" w:lineRule="auto"/>
      </w:pPr>
      <w:r>
        <w:separator/>
      </w:r>
    </w:p>
  </w:endnote>
  <w:endnote w:type="continuationSeparator" w:id="0">
    <w:p w14:paraId="51DE5A85" w14:textId="77777777" w:rsidR="00183F11" w:rsidRDefault="00183F11" w:rsidP="00AE5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Brush Script MT">
    <w:altName w:val="Brush Script MT"/>
    <w:charset w:val="00"/>
    <w:family w:val="script"/>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92C0E" w14:textId="2195CE63" w:rsidR="002876F8" w:rsidRDefault="00F24218">
    <w:pPr>
      <w:pStyle w:val="Footer"/>
    </w:pPr>
    <w:r>
      <w:rPr>
        <w:noProof/>
      </w:rPr>
      <mc:AlternateContent>
        <mc:Choice Requires="wps">
          <w:drawing>
            <wp:anchor distT="0" distB="0" distL="0" distR="0" simplePos="0" relativeHeight="251659264" behindDoc="0" locked="0" layoutInCell="1" allowOverlap="1" wp14:anchorId="3CE9946A" wp14:editId="3DD87B80">
              <wp:simplePos x="0" y="0"/>
              <wp:positionH relativeFrom="margin">
                <wp:align>left</wp:align>
              </wp:positionH>
              <wp:positionV relativeFrom="bottomMargin">
                <wp:posOffset>231140</wp:posOffset>
              </wp:positionV>
              <wp:extent cx="4572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E835A" w14:textId="77777777" w:rsidR="00F24218" w:rsidRPr="00F24218" w:rsidRDefault="00F24218" w:rsidP="00F24218">
                          <w:pPr>
                            <w:jc w:val="right"/>
                            <w:rPr>
                              <w:rFonts w:ascii="Cambria" w:hAnsi="Cambria"/>
                              <w:b/>
                              <w:bCs/>
                              <w:color w:val="FFFFFF" w:themeColor="background1"/>
                              <w:sz w:val="28"/>
                              <w:szCs w:val="28"/>
                            </w:rPr>
                          </w:pPr>
                          <w:r w:rsidRPr="00F24218">
                            <w:rPr>
                              <w:rFonts w:ascii="Cambria" w:hAnsi="Cambria"/>
                              <w:b/>
                              <w:bCs/>
                              <w:color w:val="FFFFFF" w:themeColor="background1"/>
                              <w:sz w:val="28"/>
                              <w:szCs w:val="28"/>
                            </w:rPr>
                            <w:fldChar w:fldCharType="begin"/>
                          </w:r>
                          <w:r w:rsidRPr="00F24218">
                            <w:rPr>
                              <w:rFonts w:ascii="Cambria" w:hAnsi="Cambria"/>
                              <w:b/>
                              <w:bCs/>
                              <w:color w:val="FFFFFF" w:themeColor="background1"/>
                              <w:sz w:val="28"/>
                              <w:szCs w:val="28"/>
                            </w:rPr>
                            <w:instrText xml:space="preserve"> PAGE   \* MERGEFORMAT </w:instrText>
                          </w:r>
                          <w:r w:rsidRPr="00F24218">
                            <w:rPr>
                              <w:rFonts w:ascii="Cambria" w:hAnsi="Cambria"/>
                              <w:b/>
                              <w:bCs/>
                              <w:color w:val="FFFFFF" w:themeColor="background1"/>
                              <w:sz w:val="28"/>
                              <w:szCs w:val="28"/>
                            </w:rPr>
                            <w:fldChar w:fldCharType="separate"/>
                          </w:r>
                          <w:r>
                            <w:rPr>
                              <w:rFonts w:ascii="Cambria" w:hAnsi="Cambria"/>
                              <w:b/>
                              <w:bCs/>
                              <w:color w:val="FFFFFF" w:themeColor="background1"/>
                              <w:sz w:val="28"/>
                              <w:szCs w:val="28"/>
                            </w:rPr>
                            <w:t>2</w:t>
                          </w:r>
                          <w:r w:rsidRPr="00F24218">
                            <w:rPr>
                              <w:rFonts w:ascii="Cambria" w:hAnsi="Cambria"/>
                              <w:b/>
                              <w:bCs/>
                              <w:noProof/>
                              <w:color w:val="FFFFFF" w:themeColor="background1"/>
                              <w:sz w:val="28"/>
                              <w:szCs w:val="28"/>
                            </w:rPr>
                            <w:fldChar w:fldCharType="end"/>
                          </w:r>
                        </w:p>
                        <w:p w14:paraId="5960139D" w14:textId="44903D5A" w:rsidR="00F24218" w:rsidRPr="00F24218" w:rsidRDefault="00F24218">
                          <w:pPr>
                            <w:jc w:val="right"/>
                            <w:rPr>
                              <w:rFonts w:ascii="Cambria" w:hAnsi="Cambria"/>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9946A" id="Rectangle 45" o:spid="_x0000_s1026" style="position:absolute;margin-left:0;margin-top:18.2pt;width:36pt;height:25.2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" fillcolor="black [3213]" stroked="f" strokeweight="3pt">
              <v:textbox>
                <w:txbxContent>
                  <w:p w14:paraId="6C8E835A" w14:textId="77777777" w:rsidR="00F24218" w:rsidRPr="00F24218" w:rsidRDefault="00F24218" w:rsidP="00F24218">
                    <w:pPr>
                      <w:jc w:val="right"/>
                      <w:rPr>
                        <w:rFonts w:ascii="Cambria" w:hAnsi="Cambria"/>
                        <w:b/>
                        <w:bCs/>
                        <w:color w:val="FFFFFF" w:themeColor="background1"/>
                        <w:sz w:val="28"/>
                        <w:szCs w:val="28"/>
                      </w:rPr>
                    </w:pPr>
                    <w:r w:rsidRPr="00F24218">
                      <w:rPr>
                        <w:rFonts w:ascii="Cambria" w:hAnsi="Cambria"/>
                        <w:b/>
                        <w:bCs/>
                        <w:color w:val="FFFFFF" w:themeColor="background1"/>
                        <w:sz w:val="28"/>
                        <w:szCs w:val="28"/>
                      </w:rPr>
                      <w:fldChar w:fldCharType="begin"/>
                    </w:r>
                    <w:r w:rsidRPr="00F24218">
                      <w:rPr>
                        <w:rFonts w:ascii="Cambria" w:hAnsi="Cambria"/>
                        <w:b/>
                        <w:bCs/>
                        <w:color w:val="FFFFFF" w:themeColor="background1"/>
                        <w:sz w:val="28"/>
                        <w:szCs w:val="28"/>
                      </w:rPr>
                      <w:instrText xml:space="preserve"> PAGE   \* MERGEFORMAT </w:instrText>
                    </w:r>
                    <w:r w:rsidRPr="00F24218">
                      <w:rPr>
                        <w:rFonts w:ascii="Cambria" w:hAnsi="Cambria"/>
                        <w:b/>
                        <w:bCs/>
                        <w:color w:val="FFFFFF" w:themeColor="background1"/>
                        <w:sz w:val="28"/>
                        <w:szCs w:val="28"/>
                      </w:rPr>
                      <w:fldChar w:fldCharType="separate"/>
                    </w:r>
                    <w:r>
                      <w:rPr>
                        <w:rFonts w:ascii="Cambria" w:hAnsi="Cambria"/>
                        <w:b/>
                        <w:bCs/>
                        <w:color w:val="FFFFFF" w:themeColor="background1"/>
                        <w:sz w:val="28"/>
                        <w:szCs w:val="28"/>
                      </w:rPr>
                      <w:t>2</w:t>
                    </w:r>
                    <w:r w:rsidRPr="00F24218">
                      <w:rPr>
                        <w:rFonts w:ascii="Cambria" w:hAnsi="Cambria"/>
                        <w:b/>
                        <w:bCs/>
                        <w:noProof/>
                        <w:color w:val="FFFFFF" w:themeColor="background1"/>
                        <w:sz w:val="28"/>
                        <w:szCs w:val="28"/>
                      </w:rPr>
                      <w:fldChar w:fldCharType="end"/>
                    </w:r>
                  </w:p>
                  <w:p w14:paraId="5960139D" w14:textId="44903D5A" w:rsidR="00F24218" w:rsidRPr="00F24218" w:rsidRDefault="00F24218">
                    <w:pPr>
                      <w:jc w:val="right"/>
                      <w:rPr>
                        <w:rFonts w:ascii="Cambria" w:hAnsi="Cambria"/>
                        <w:b/>
                        <w:bCs/>
                        <w:color w:val="FFFFFF" w:themeColor="background1"/>
                        <w:sz w:val="28"/>
                        <w:szCs w:val="28"/>
                      </w:rPr>
                    </w:pPr>
                  </w:p>
                </w:txbxContent>
              </v:textbox>
              <w10:wrap type="square" anchorx="margin" anchory="margin"/>
            </v:rect>
          </w:pict>
        </mc:Fallback>
      </mc:AlternateContent>
    </w:r>
    <w:r>
      <w:rPr>
        <w:noProof/>
        <w:color w:val="808080" w:themeColor="background1" w:themeShade="80"/>
      </w:rPr>
      <mc:AlternateContent>
        <mc:Choice Requires="wpg">
          <w:drawing>
            <wp:anchor distT="0" distB="0" distL="0" distR="0" simplePos="0" relativeHeight="251660288" behindDoc="0" locked="0" layoutInCell="1" allowOverlap="1" wp14:anchorId="261262ED" wp14:editId="2A42A790">
              <wp:simplePos x="0" y="0"/>
              <wp:positionH relativeFrom="margin">
                <wp:posOffset>19685</wp:posOffset>
              </wp:positionH>
              <wp:positionV relativeFrom="bottomMargin">
                <wp:posOffset>217805</wp:posOffset>
              </wp:positionV>
              <wp:extent cx="5924550" cy="320040"/>
              <wp:effectExtent l="0" t="0" r="0" b="3810"/>
              <wp:wrapSquare wrapText="bothSides"/>
              <wp:docPr id="37" name="Group 43"/>
              <wp:cNvGraphicFramePr/>
              <a:graphic xmlns:a="http://schemas.openxmlformats.org/drawingml/2006/main">
                <a:graphicData uri="http://schemas.microsoft.com/office/word/2010/wordprocessingGroup">
                  <wpg:wgp>
                    <wpg:cNvGrpSpPr/>
                    <wpg:grpSpPr>
                      <a:xfrm>
                        <a:off x="0" y="0"/>
                        <a:ext cx="5924550" cy="320040"/>
                        <a:chOff x="19050" y="0"/>
                        <a:chExt cx="594360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840887" y="66676"/>
                          <a:ext cx="4771244"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1BB70" w14:textId="77777777" w:rsidR="00DB230A" w:rsidRPr="00F24218" w:rsidRDefault="00DB230A" w:rsidP="00DB230A">
                            <w:pPr>
                              <w:jc w:val="right"/>
                              <w:rPr>
                                <w:rFonts w:ascii="Cambria" w:hAnsi="Cambria"/>
                                <w:color w:val="808080" w:themeColor="background1" w:themeShade="80"/>
                                <w:sz w:val="20"/>
                                <w:szCs w:val="20"/>
                              </w:rPr>
                            </w:pPr>
                            <w:r>
                              <w:rPr>
                                <w:rFonts w:ascii="Cambria" w:hAnsi="Cambria"/>
                                <w:color w:val="7F7F7F" w:themeColor="text1" w:themeTint="80"/>
                                <w:sz w:val="20"/>
                                <w:szCs w:val="20"/>
                              </w:rPr>
                              <w:t>Borneo Law Review</w:t>
                            </w:r>
                            <w:r w:rsidRPr="00F24218">
                              <w:rPr>
                                <w:rFonts w:ascii="Cambria" w:hAnsi="Cambria"/>
                                <w:color w:val="7F7F7F" w:themeColor="text1" w:themeTint="80"/>
                                <w:sz w:val="20"/>
                                <w:szCs w:val="20"/>
                              </w:rPr>
                              <w:t xml:space="preserve"> Volume, </w:t>
                            </w:r>
                            <w:r w:rsidRPr="00F24218">
                              <w:rPr>
                                <w:rFonts w:ascii="Cambria" w:hAnsi="Cambria"/>
                                <w:i/>
                                <w:iCs/>
                                <w:color w:val="7F7F7F" w:themeColor="text1" w:themeTint="80"/>
                                <w:sz w:val="20"/>
                                <w:szCs w:val="20"/>
                              </w:rPr>
                              <w:t>x</w:t>
                            </w:r>
                            <w:r w:rsidRPr="00F24218">
                              <w:rPr>
                                <w:rFonts w:ascii="Cambria" w:hAnsi="Cambria"/>
                                <w:color w:val="7F7F7F" w:themeColor="text1" w:themeTint="80"/>
                                <w:sz w:val="20"/>
                                <w:szCs w:val="20"/>
                              </w:rPr>
                              <w:t xml:space="preserve"> Issue, </w:t>
                            </w:r>
                            <w:r w:rsidRPr="00F24218">
                              <w:rPr>
                                <w:rFonts w:ascii="Cambria" w:hAnsi="Cambria"/>
                                <w:i/>
                                <w:iCs/>
                                <w:color w:val="7F7F7F" w:themeColor="text1" w:themeTint="80"/>
                                <w:sz w:val="20"/>
                                <w:szCs w:val="20"/>
                              </w:rPr>
                              <w:t xml:space="preserve">x, </w:t>
                            </w:r>
                            <w:r w:rsidRPr="00F24218">
                              <w:rPr>
                                <w:rFonts w:ascii="Cambria" w:hAnsi="Cambria"/>
                                <w:color w:val="7F7F7F" w:themeColor="text1" w:themeTint="80"/>
                                <w:sz w:val="20"/>
                                <w:szCs w:val="20"/>
                              </w:rPr>
                              <w:t>Month, Year</w:t>
                            </w:r>
                          </w:p>
                          <w:p w14:paraId="407EBE87" w14:textId="4F2EEA5C" w:rsidR="00F24218" w:rsidRPr="00F24218" w:rsidRDefault="00F24218">
                            <w:pPr>
                              <w:jc w:val="right"/>
                              <w:rPr>
                                <w:rFonts w:ascii="Cambria" w:hAnsi="Cambria"/>
                                <w:color w:val="808080" w:themeColor="background1" w:themeShade="80"/>
                                <w:sz w:val="20"/>
                                <w:szCs w:val="2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1262ED" id="Group 43" o:spid="_x0000_s1027" style="position:absolute;margin-left:1.55pt;margin-top:17.15pt;width:466.5pt;height:25.2pt;z-index:251660288;mso-wrap-distance-left:0;mso-wrap-distance-right:0;mso-position-horizontal-relative:margin;mso-position-vertical-relative:bottom-margin-area;mso-width-relative:margin;mso-height-relative:margin" coordorigin="190" coordsize="5943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9" type="#_x0000_t202" style="position:absolute;left:8408;top:666;width:47713;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55E1BB70" w14:textId="77777777" w:rsidR="00DB230A" w:rsidRPr="00F24218" w:rsidRDefault="00DB230A" w:rsidP="00DB230A">
                      <w:pPr>
                        <w:jc w:val="right"/>
                        <w:rPr>
                          <w:rFonts w:ascii="Cambria" w:hAnsi="Cambria"/>
                          <w:color w:val="808080" w:themeColor="background1" w:themeShade="80"/>
                          <w:sz w:val="20"/>
                          <w:szCs w:val="20"/>
                        </w:rPr>
                      </w:pPr>
                      <w:r>
                        <w:rPr>
                          <w:rFonts w:ascii="Cambria" w:hAnsi="Cambria"/>
                          <w:color w:val="7F7F7F" w:themeColor="text1" w:themeTint="80"/>
                          <w:sz w:val="20"/>
                          <w:szCs w:val="20"/>
                        </w:rPr>
                        <w:t>Borneo Law Review</w:t>
                      </w:r>
                      <w:r w:rsidRPr="00F24218">
                        <w:rPr>
                          <w:rFonts w:ascii="Cambria" w:hAnsi="Cambria"/>
                          <w:color w:val="7F7F7F" w:themeColor="text1" w:themeTint="80"/>
                          <w:sz w:val="20"/>
                          <w:szCs w:val="20"/>
                        </w:rPr>
                        <w:t xml:space="preserve"> Volume, </w:t>
                      </w:r>
                      <w:r w:rsidRPr="00F24218">
                        <w:rPr>
                          <w:rFonts w:ascii="Cambria" w:hAnsi="Cambria"/>
                          <w:i/>
                          <w:iCs/>
                          <w:color w:val="7F7F7F" w:themeColor="text1" w:themeTint="80"/>
                          <w:sz w:val="20"/>
                          <w:szCs w:val="20"/>
                        </w:rPr>
                        <w:t>x</w:t>
                      </w:r>
                      <w:r w:rsidRPr="00F24218">
                        <w:rPr>
                          <w:rFonts w:ascii="Cambria" w:hAnsi="Cambria"/>
                          <w:color w:val="7F7F7F" w:themeColor="text1" w:themeTint="80"/>
                          <w:sz w:val="20"/>
                          <w:szCs w:val="20"/>
                        </w:rPr>
                        <w:t xml:space="preserve"> Issue, </w:t>
                      </w:r>
                      <w:r w:rsidRPr="00F24218">
                        <w:rPr>
                          <w:rFonts w:ascii="Cambria" w:hAnsi="Cambria"/>
                          <w:i/>
                          <w:iCs/>
                          <w:color w:val="7F7F7F" w:themeColor="text1" w:themeTint="80"/>
                          <w:sz w:val="20"/>
                          <w:szCs w:val="20"/>
                        </w:rPr>
                        <w:t xml:space="preserve">x, </w:t>
                      </w:r>
                      <w:r w:rsidRPr="00F24218">
                        <w:rPr>
                          <w:rFonts w:ascii="Cambria" w:hAnsi="Cambria"/>
                          <w:color w:val="7F7F7F" w:themeColor="text1" w:themeTint="80"/>
                          <w:sz w:val="20"/>
                          <w:szCs w:val="20"/>
                        </w:rPr>
                        <w:t>Month, Year</w:t>
                      </w:r>
                    </w:p>
                    <w:p w14:paraId="407EBE87" w14:textId="4F2EEA5C" w:rsidR="00F24218" w:rsidRPr="00F24218" w:rsidRDefault="00F24218">
                      <w:pPr>
                        <w:jc w:val="right"/>
                        <w:rPr>
                          <w:rFonts w:ascii="Cambria" w:hAnsi="Cambria"/>
                          <w:color w:val="808080" w:themeColor="background1" w:themeShade="80"/>
                          <w:sz w:val="20"/>
                          <w:szCs w:val="20"/>
                        </w:rPr>
                      </w:pPr>
                    </w:p>
                  </w:txbxContent>
                </v:textbox>
              </v:shape>
              <w10:wrap type="square" anchorx="margin"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8E282" w14:textId="679D4520" w:rsidR="00F24218" w:rsidRDefault="00F24218">
    <w:pPr>
      <w:pStyle w:val="Footer"/>
    </w:pPr>
    <w:r>
      <w:rPr>
        <w:noProof/>
        <w:color w:val="808080" w:themeColor="background1" w:themeShade="80"/>
      </w:rPr>
      <mc:AlternateContent>
        <mc:Choice Requires="wpg">
          <w:drawing>
            <wp:anchor distT="0" distB="0" distL="0" distR="0" simplePos="0" relativeHeight="251663360" behindDoc="0" locked="0" layoutInCell="1" allowOverlap="1" wp14:anchorId="1771C321" wp14:editId="57AD3D2B">
              <wp:simplePos x="0" y="0"/>
              <wp:positionH relativeFrom="margin">
                <wp:posOffset>-313055</wp:posOffset>
              </wp:positionH>
              <wp:positionV relativeFrom="bottomMargin">
                <wp:posOffset>214630</wp:posOffset>
              </wp:positionV>
              <wp:extent cx="5923915" cy="304800"/>
              <wp:effectExtent l="0" t="0" r="635" b="0"/>
              <wp:wrapSquare wrapText="bothSides"/>
              <wp:docPr id="854992663" name="Group 43"/>
              <wp:cNvGraphicFramePr/>
              <a:graphic xmlns:a="http://schemas.openxmlformats.org/drawingml/2006/main">
                <a:graphicData uri="http://schemas.microsoft.com/office/word/2010/wordprocessingGroup">
                  <wpg:wgp>
                    <wpg:cNvGrpSpPr/>
                    <wpg:grpSpPr>
                      <a:xfrm flipH="1">
                        <a:off x="0" y="0"/>
                        <a:ext cx="5923915" cy="304800"/>
                        <a:chOff x="19050" y="0"/>
                        <a:chExt cx="5943600" cy="308429"/>
                      </a:xfrm>
                    </wpg:grpSpPr>
                    <wps:wsp>
                      <wps:cNvPr id="146433915" name="Rectangle 146433915"/>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54512" name="Text Box 49854512"/>
                      <wps:cNvSpPr txBox="1"/>
                      <wps:spPr>
                        <a:xfrm>
                          <a:off x="2582322" y="51254"/>
                          <a:ext cx="300898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E3349F" w14:textId="77777777" w:rsidR="00DB230A" w:rsidRPr="00F24218" w:rsidRDefault="00DB230A" w:rsidP="00DB230A">
                            <w:pPr>
                              <w:jc w:val="right"/>
                              <w:rPr>
                                <w:rFonts w:ascii="Cambria" w:hAnsi="Cambria"/>
                                <w:color w:val="808080" w:themeColor="background1" w:themeShade="80"/>
                                <w:sz w:val="20"/>
                                <w:szCs w:val="20"/>
                              </w:rPr>
                            </w:pPr>
                            <w:r>
                              <w:rPr>
                                <w:rFonts w:ascii="Cambria" w:hAnsi="Cambria"/>
                                <w:color w:val="7F7F7F" w:themeColor="text1" w:themeTint="80"/>
                                <w:sz w:val="20"/>
                                <w:szCs w:val="20"/>
                              </w:rPr>
                              <w:t>Borneo Law Review</w:t>
                            </w:r>
                            <w:r w:rsidRPr="00F24218">
                              <w:rPr>
                                <w:rFonts w:ascii="Cambria" w:hAnsi="Cambria"/>
                                <w:color w:val="7F7F7F" w:themeColor="text1" w:themeTint="80"/>
                                <w:sz w:val="20"/>
                                <w:szCs w:val="20"/>
                              </w:rPr>
                              <w:t xml:space="preserve"> Volume, </w:t>
                            </w:r>
                            <w:r w:rsidRPr="00F24218">
                              <w:rPr>
                                <w:rFonts w:ascii="Cambria" w:hAnsi="Cambria"/>
                                <w:i/>
                                <w:iCs/>
                                <w:color w:val="7F7F7F" w:themeColor="text1" w:themeTint="80"/>
                                <w:sz w:val="20"/>
                                <w:szCs w:val="20"/>
                              </w:rPr>
                              <w:t>x</w:t>
                            </w:r>
                            <w:r w:rsidRPr="00F24218">
                              <w:rPr>
                                <w:rFonts w:ascii="Cambria" w:hAnsi="Cambria"/>
                                <w:color w:val="7F7F7F" w:themeColor="text1" w:themeTint="80"/>
                                <w:sz w:val="20"/>
                                <w:szCs w:val="20"/>
                              </w:rPr>
                              <w:t xml:space="preserve"> Issue, </w:t>
                            </w:r>
                            <w:r w:rsidRPr="00F24218">
                              <w:rPr>
                                <w:rFonts w:ascii="Cambria" w:hAnsi="Cambria"/>
                                <w:i/>
                                <w:iCs/>
                                <w:color w:val="7F7F7F" w:themeColor="text1" w:themeTint="80"/>
                                <w:sz w:val="20"/>
                                <w:szCs w:val="20"/>
                              </w:rPr>
                              <w:t xml:space="preserve">x, </w:t>
                            </w:r>
                            <w:r w:rsidRPr="00F24218">
                              <w:rPr>
                                <w:rFonts w:ascii="Cambria" w:hAnsi="Cambria"/>
                                <w:color w:val="7F7F7F" w:themeColor="text1" w:themeTint="80"/>
                                <w:sz w:val="20"/>
                                <w:szCs w:val="20"/>
                              </w:rPr>
                              <w:t>Month, Year</w:t>
                            </w:r>
                          </w:p>
                          <w:p w14:paraId="016A6757" w14:textId="772789ED" w:rsidR="00F24218" w:rsidRPr="00F24218" w:rsidRDefault="00F24218" w:rsidP="00F24218">
                            <w:pPr>
                              <w:rPr>
                                <w:rFonts w:ascii="Cambria" w:hAnsi="Cambria"/>
                                <w:color w:val="808080" w:themeColor="background1" w:themeShade="80"/>
                                <w:sz w:val="20"/>
                                <w:szCs w:val="2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71C321" id="_x0000_s1030" style="position:absolute;margin-left:-24.65pt;margin-top:16.9pt;width:466.45pt;height:24pt;flip:x;z-index:251663360;mso-wrap-distance-left:0;mso-wrap-distance-right:0;mso-position-horizontal-relative:margin;mso-position-vertical-relative:bottom-margin-area;mso-width-relative:margin;mso-height-relative:margin" coordorigin="190" coordsize="59436,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">
              <v:rect id="Rectangle 146433915" o:spid="_x0000_s1031"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" fillcolor="black [3213]" stroked="f" strokeweight="1pt"/>
              <v:shapetype id="_x0000_t202" coordsize="21600,21600" o:spt="202" path="m,l,21600r21600,l21600,xe">
                <v:stroke joinstyle="miter"/>
                <v:path gradientshapeok="t" o:connecttype="rect"/>
              </v:shapetype>
              <v:shape id="Text Box 49854512" o:spid="_x0000_s1032" type="#_x0000_t202" style="position:absolute;left:25823;top:512;width:30090;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" filled="f" stroked="f" strokeweight=".5pt">
                <v:textbox inset=",,,0">
                  <w:txbxContent>
                    <w:p w14:paraId="42E3349F" w14:textId="77777777" w:rsidR="00DB230A" w:rsidRPr="00F24218" w:rsidRDefault="00DB230A" w:rsidP="00DB230A">
                      <w:pPr>
                        <w:jc w:val="right"/>
                        <w:rPr>
                          <w:rFonts w:ascii="Cambria" w:hAnsi="Cambria"/>
                          <w:color w:val="808080" w:themeColor="background1" w:themeShade="80"/>
                          <w:sz w:val="20"/>
                          <w:szCs w:val="20"/>
                        </w:rPr>
                      </w:pPr>
                      <w:r>
                        <w:rPr>
                          <w:rFonts w:ascii="Cambria" w:hAnsi="Cambria"/>
                          <w:color w:val="7F7F7F" w:themeColor="text1" w:themeTint="80"/>
                          <w:sz w:val="20"/>
                          <w:szCs w:val="20"/>
                        </w:rPr>
                        <w:t>Borneo Law Review</w:t>
                      </w:r>
                      <w:r w:rsidRPr="00F24218">
                        <w:rPr>
                          <w:rFonts w:ascii="Cambria" w:hAnsi="Cambria"/>
                          <w:color w:val="7F7F7F" w:themeColor="text1" w:themeTint="80"/>
                          <w:sz w:val="20"/>
                          <w:szCs w:val="20"/>
                        </w:rPr>
                        <w:t xml:space="preserve"> Volume, </w:t>
                      </w:r>
                      <w:r w:rsidRPr="00F24218">
                        <w:rPr>
                          <w:rFonts w:ascii="Cambria" w:hAnsi="Cambria"/>
                          <w:i/>
                          <w:iCs/>
                          <w:color w:val="7F7F7F" w:themeColor="text1" w:themeTint="80"/>
                          <w:sz w:val="20"/>
                          <w:szCs w:val="20"/>
                        </w:rPr>
                        <w:t>x</w:t>
                      </w:r>
                      <w:r w:rsidRPr="00F24218">
                        <w:rPr>
                          <w:rFonts w:ascii="Cambria" w:hAnsi="Cambria"/>
                          <w:color w:val="7F7F7F" w:themeColor="text1" w:themeTint="80"/>
                          <w:sz w:val="20"/>
                          <w:szCs w:val="20"/>
                        </w:rPr>
                        <w:t xml:space="preserve"> Issue, </w:t>
                      </w:r>
                      <w:r w:rsidRPr="00F24218">
                        <w:rPr>
                          <w:rFonts w:ascii="Cambria" w:hAnsi="Cambria"/>
                          <w:i/>
                          <w:iCs/>
                          <w:color w:val="7F7F7F" w:themeColor="text1" w:themeTint="80"/>
                          <w:sz w:val="20"/>
                          <w:szCs w:val="20"/>
                        </w:rPr>
                        <w:t xml:space="preserve">x, </w:t>
                      </w:r>
                      <w:r w:rsidRPr="00F24218">
                        <w:rPr>
                          <w:rFonts w:ascii="Cambria" w:hAnsi="Cambria"/>
                          <w:color w:val="7F7F7F" w:themeColor="text1" w:themeTint="80"/>
                          <w:sz w:val="20"/>
                          <w:szCs w:val="20"/>
                        </w:rPr>
                        <w:t>Month, Year</w:t>
                      </w:r>
                    </w:p>
                    <w:p w14:paraId="016A6757" w14:textId="772789ED" w:rsidR="00F24218" w:rsidRPr="00F24218" w:rsidRDefault="00F24218" w:rsidP="00F24218">
                      <w:pPr>
                        <w:rPr>
                          <w:rFonts w:ascii="Cambria" w:hAnsi="Cambria"/>
                          <w:color w:val="808080" w:themeColor="background1" w:themeShade="80"/>
                          <w:sz w:val="20"/>
                          <w:szCs w:val="20"/>
                        </w:rPr>
                      </w:pPr>
                    </w:p>
                  </w:txbxContent>
                </v:textbox>
              </v:shape>
              <w10:wrap type="square" anchorx="margin" anchory="margin"/>
            </v:group>
          </w:pict>
        </mc:Fallback>
      </mc:AlternateContent>
    </w:r>
    <w:r>
      <w:rPr>
        <w:noProof/>
      </w:rPr>
      <mc:AlternateContent>
        <mc:Choice Requires="wps">
          <w:drawing>
            <wp:anchor distT="0" distB="0" distL="0" distR="0" simplePos="0" relativeHeight="251662336" behindDoc="0" locked="0" layoutInCell="1" allowOverlap="1" wp14:anchorId="741792D4" wp14:editId="4768B632">
              <wp:simplePos x="0" y="0"/>
              <wp:positionH relativeFrom="rightMargin">
                <wp:align>left</wp:align>
              </wp:positionH>
              <mc:AlternateContent>
                <mc:Choice Requires="wp14">
                  <wp:positionV relativeFrom="bottomMargin">
                    <wp14:pctPosVOffset>20000</wp14:pctPosVOffset>
                  </wp:positionV>
                </mc:Choice>
                <mc:Fallback>
                  <wp:positionV relativeFrom="page">
                    <wp:posOffset>9827895</wp:posOffset>
                  </wp:positionV>
                </mc:Fallback>
              </mc:AlternateContent>
              <wp:extent cx="457200" cy="320040"/>
              <wp:effectExtent l="0" t="0" r="0" b="3810"/>
              <wp:wrapSquare wrapText="bothSides"/>
              <wp:docPr id="1854967788"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91FE4" w14:textId="77777777" w:rsidR="00F24218" w:rsidRDefault="00F24218">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792D4" id="_x0000_s1033" style="position:absolute;margin-left:0;margin-top:0;width:36pt;height:25.2pt;z-index:251662336;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" fillcolor="black [3213]" stroked="f" strokeweight="3pt">
              <v:textbox>
                <w:txbxContent>
                  <w:p w14:paraId="46391FE4" w14:textId="77777777" w:rsidR="00F24218" w:rsidRDefault="00F24218">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51633" w14:textId="3FEBA6A7" w:rsidR="002876F8" w:rsidRPr="002876F8" w:rsidRDefault="00F24218">
    <w:pPr>
      <w:pStyle w:val="Footer"/>
      <w:jc w:val="center"/>
      <w:rPr>
        <w:rFonts w:ascii="Cambria" w:hAnsi="Cambria"/>
      </w:rPr>
    </w:pPr>
    <w:r>
      <w:rPr>
        <w:noProof/>
      </w:rPr>
      <mc:AlternateContent>
        <mc:Choice Requires="wps">
          <w:drawing>
            <wp:anchor distT="0" distB="0" distL="0" distR="0" simplePos="0" relativeHeight="251665408" behindDoc="0" locked="0" layoutInCell="1" allowOverlap="1" wp14:anchorId="1908F6DC" wp14:editId="0E8E3E93">
              <wp:simplePos x="0" y="0"/>
              <wp:positionH relativeFrom="margin">
                <wp:align>center</wp:align>
              </wp:positionH>
              <wp:positionV relativeFrom="bottomMargin">
                <wp:posOffset>219075</wp:posOffset>
              </wp:positionV>
              <wp:extent cx="457200" cy="320040"/>
              <wp:effectExtent l="0" t="0" r="0" b="3810"/>
              <wp:wrapSquare wrapText="bothSides"/>
              <wp:docPr id="512428568"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2DBC41" w14:textId="77777777" w:rsidR="00F24218" w:rsidRPr="00F24218" w:rsidRDefault="00F24218" w:rsidP="002B1F41">
                          <w:pPr>
                            <w:jc w:val="center"/>
                            <w:rPr>
                              <w:rFonts w:ascii="Cambria" w:hAnsi="Cambria"/>
                              <w:b/>
                              <w:bCs/>
                              <w:color w:val="FFFFFF" w:themeColor="background1"/>
                              <w:sz w:val="28"/>
                              <w:szCs w:val="28"/>
                            </w:rPr>
                          </w:pPr>
                          <w:r w:rsidRPr="00F24218">
                            <w:rPr>
                              <w:rFonts w:ascii="Cambria" w:hAnsi="Cambria"/>
                              <w:b/>
                              <w:bCs/>
                              <w:color w:val="FFFFFF" w:themeColor="background1"/>
                              <w:sz w:val="28"/>
                              <w:szCs w:val="28"/>
                            </w:rPr>
                            <w:fldChar w:fldCharType="begin"/>
                          </w:r>
                          <w:r w:rsidRPr="00F24218">
                            <w:rPr>
                              <w:rFonts w:ascii="Cambria" w:hAnsi="Cambria"/>
                              <w:b/>
                              <w:bCs/>
                              <w:color w:val="FFFFFF" w:themeColor="background1"/>
                              <w:sz w:val="28"/>
                              <w:szCs w:val="28"/>
                            </w:rPr>
                            <w:instrText xml:space="preserve"> PAGE   \* MERGEFORMAT </w:instrText>
                          </w:r>
                          <w:r w:rsidRPr="00F24218">
                            <w:rPr>
                              <w:rFonts w:ascii="Cambria" w:hAnsi="Cambria"/>
                              <w:b/>
                              <w:bCs/>
                              <w:color w:val="FFFFFF" w:themeColor="background1"/>
                              <w:sz w:val="28"/>
                              <w:szCs w:val="28"/>
                            </w:rPr>
                            <w:fldChar w:fldCharType="separate"/>
                          </w:r>
                          <w:r>
                            <w:rPr>
                              <w:rFonts w:ascii="Cambria" w:hAnsi="Cambria"/>
                              <w:b/>
                              <w:bCs/>
                              <w:color w:val="FFFFFF" w:themeColor="background1"/>
                              <w:sz w:val="28"/>
                              <w:szCs w:val="28"/>
                            </w:rPr>
                            <w:t>2</w:t>
                          </w:r>
                          <w:r w:rsidRPr="00F24218">
                            <w:rPr>
                              <w:rFonts w:ascii="Cambria" w:hAnsi="Cambria"/>
                              <w:b/>
                              <w:bCs/>
                              <w:noProof/>
                              <w:color w:val="FFFFFF" w:themeColor="background1"/>
                              <w:sz w:val="28"/>
                              <w:szCs w:val="28"/>
                            </w:rPr>
                            <w:fldChar w:fldCharType="end"/>
                          </w:r>
                        </w:p>
                        <w:p w14:paraId="699BB7D8" w14:textId="77777777" w:rsidR="00F24218" w:rsidRPr="00F24218" w:rsidRDefault="00F24218" w:rsidP="002B1F41">
                          <w:pPr>
                            <w:jc w:val="center"/>
                            <w:rPr>
                              <w:rFonts w:ascii="Cambria" w:hAnsi="Cambria"/>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8F6DC" id="_x0000_s1034" style="position:absolute;left:0;text-align:left;margin-left:0;margin-top:17.25pt;width:36pt;height:25.2pt;z-index:251665408;visibility:visible;mso-wrap-style:square;mso-width-percent:0;mso-height-percent:0;mso-wrap-distance-left:0;mso-wrap-distance-top:0;mso-wrap-distance-right:0;mso-wrap-distance-bottom:0;mso-position-horizontal:center;mso-position-horizontal-relative:margin;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" fillcolor="black [3213]" stroked="f" strokeweight="3pt">
              <v:textbox>
                <w:txbxContent>
                  <w:p w14:paraId="042DBC41" w14:textId="77777777" w:rsidR="00F24218" w:rsidRPr="00F24218" w:rsidRDefault="00F24218" w:rsidP="002B1F41">
                    <w:pPr>
                      <w:jc w:val="center"/>
                      <w:rPr>
                        <w:rFonts w:ascii="Cambria" w:hAnsi="Cambria"/>
                        <w:b/>
                        <w:bCs/>
                        <w:color w:val="FFFFFF" w:themeColor="background1"/>
                        <w:sz w:val="28"/>
                        <w:szCs w:val="28"/>
                      </w:rPr>
                    </w:pPr>
                    <w:r w:rsidRPr="00F24218">
                      <w:rPr>
                        <w:rFonts w:ascii="Cambria" w:hAnsi="Cambria"/>
                        <w:b/>
                        <w:bCs/>
                        <w:color w:val="FFFFFF" w:themeColor="background1"/>
                        <w:sz w:val="28"/>
                        <w:szCs w:val="28"/>
                      </w:rPr>
                      <w:fldChar w:fldCharType="begin"/>
                    </w:r>
                    <w:r w:rsidRPr="00F24218">
                      <w:rPr>
                        <w:rFonts w:ascii="Cambria" w:hAnsi="Cambria"/>
                        <w:b/>
                        <w:bCs/>
                        <w:color w:val="FFFFFF" w:themeColor="background1"/>
                        <w:sz w:val="28"/>
                        <w:szCs w:val="28"/>
                      </w:rPr>
                      <w:instrText xml:space="preserve"> PAGE   \* MERGEFORMAT </w:instrText>
                    </w:r>
                    <w:r w:rsidRPr="00F24218">
                      <w:rPr>
                        <w:rFonts w:ascii="Cambria" w:hAnsi="Cambria"/>
                        <w:b/>
                        <w:bCs/>
                        <w:color w:val="FFFFFF" w:themeColor="background1"/>
                        <w:sz w:val="28"/>
                        <w:szCs w:val="28"/>
                      </w:rPr>
                      <w:fldChar w:fldCharType="separate"/>
                    </w:r>
                    <w:r>
                      <w:rPr>
                        <w:rFonts w:ascii="Cambria" w:hAnsi="Cambria"/>
                        <w:b/>
                        <w:bCs/>
                        <w:color w:val="FFFFFF" w:themeColor="background1"/>
                        <w:sz w:val="28"/>
                        <w:szCs w:val="28"/>
                      </w:rPr>
                      <w:t>2</w:t>
                    </w:r>
                    <w:r w:rsidRPr="00F24218">
                      <w:rPr>
                        <w:rFonts w:ascii="Cambria" w:hAnsi="Cambria"/>
                        <w:b/>
                        <w:bCs/>
                        <w:noProof/>
                        <w:color w:val="FFFFFF" w:themeColor="background1"/>
                        <w:sz w:val="28"/>
                        <w:szCs w:val="28"/>
                      </w:rPr>
                      <w:fldChar w:fldCharType="end"/>
                    </w:r>
                  </w:p>
                  <w:p w14:paraId="699BB7D8" w14:textId="77777777" w:rsidR="00F24218" w:rsidRPr="00F24218" w:rsidRDefault="00F24218" w:rsidP="002B1F41">
                    <w:pPr>
                      <w:jc w:val="center"/>
                      <w:rPr>
                        <w:rFonts w:ascii="Cambria" w:hAnsi="Cambria"/>
                        <w:b/>
                        <w:bCs/>
                        <w:color w:val="FFFFFF" w:themeColor="background1"/>
                        <w:sz w:val="28"/>
                        <w:szCs w:val="28"/>
                      </w:rPr>
                    </w:pPr>
                  </w:p>
                </w:txbxContent>
              </v:textbox>
              <w10:wrap type="square" anchorx="margin" anchory="margin"/>
            </v:rect>
          </w:pict>
        </mc:Fallback>
      </mc:AlternateContent>
    </w:r>
  </w:p>
  <w:p w14:paraId="3F9D36ED" w14:textId="77777777" w:rsidR="002876F8" w:rsidRPr="002876F8" w:rsidRDefault="002876F8">
    <w:pPr>
      <w:pStyle w:val="Footer"/>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12CA2A" w14:textId="77777777" w:rsidR="00183F11" w:rsidRDefault="00183F11" w:rsidP="00AE5AD7">
      <w:pPr>
        <w:spacing w:after="0" w:line="240" w:lineRule="auto"/>
      </w:pPr>
      <w:r>
        <w:separator/>
      </w:r>
    </w:p>
  </w:footnote>
  <w:footnote w:type="continuationSeparator" w:id="0">
    <w:p w14:paraId="099C394D" w14:textId="77777777" w:rsidR="00183F11" w:rsidRDefault="00183F11" w:rsidP="00AE5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78E8C" w14:textId="77777777" w:rsidR="00DB230A" w:rsidRPr="00F24218" w:rsidRDefault="00DB230A" w:rsidP="00DB230A">
    <w:pPr>
      <w:pStyle w:val="Header"/>
      <w:jc w:val="center"/>
      <w:rPr>
        <w:rFonts w:ascii="Cambria" w:hAnsi="Cambria"/>
        <w:i/>
        <w:iCs/>
        <w:sz w:val="20"/>
        <w:szCs w:val="20"/>
      </w:rPr>
    </w:pPr>
    <w:r w:rsidRPr="00F24218">
      <w:rPr>
        <w:rFonts w:ascii="Cambria" w:hAnsi="Cambria"/>
        <w:i/>
        <w:iCs/>
        <w:sz w:val="20"/>
        <w:szCs w:val="20"/>
      </w:rPr>
      <w:t>Journal Title</w:t>
    </w:r>
  </w:p>
  <w:p w14:paraId="5E644E4D" w14:textId="77777777" w:rsidR="00DB230A" w:rsidRPr="00F24218" w:rsidRDefault="00DB230A" w:rsidP="00DB230A">
    <w:pPr>
      <w:tabs>
        <w:tab w:val="left" w:pos="2940"/>
      </w:tabs>
      <w:spacing w:after="0"/>
      <w:jc w:val="center"/>
      <w:rPr>
        <w:sz w:val="20"/>
        <w:szCs w:val="20"/>
      </w:rPr>
    </w:pPr>
    <w:r w:rsidRPr="00F24218">
      <w:rPr>
        <w:rFonts w:ascii="Cambria" w:hAnsi="Cambria"/>
        <w:sz w:val="20"/>
        <w:szCs w:val="20"/>
      </w:rPr>
      <w:t>ISSN (Print) 2580-6750</w:t>
    </w:r>
    <w:r>
      <w:rPr>
        <w:rFonts w:ascii="Cambria" w:hAnsi="Cambria"/>
        <w:sz w:val="20"/>
        <w:szCs w:val="20"/>
      </w:rPr>
      <w:t xml:space="preserve"> | </w:t>
    </w:r>
    <w:r w:rsidRPr="00F24218">
      <w:rPr>
        <w:rFonts w:ascii="Cambria" w:hAnsi="Cambria"/>
        <w:sz w:val="20"/>
        <w:szCs w:val="20"/>
      </w:rPr>
      <w:t>ISSN (Online) 2680-6742</w:t>
    </w:r>
  </w:p>
  <w:p w14:paraId="30A1297B" w14:textId="0BB8162E" w:rsidR="00CA0A6D" w:rsidRPr="00DB230A" w:rsidRDefault="00CA0A6D" w:rsidP="00DB2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E970F" w14:textId="77777777" w:rsidR="00DB230A" w:rsidRPr="00F24218" w:rsidRDefault="00DB230A" w:rsidP="00DB230A">
    <w:pPr>
      <w:pStyle w:val="Header"/>
      <w:jc w:val="center"/>
      <w:rPr>
        <w:rFonts w:ascii="Cambria" w:hAnsi="Cambria"/>
        <w:i/>
        <w:iCs/>
        <w:sz w:val="20"/>
        <w:szCs w:val="20"/>
      </w:rPr>
    </w:pPr>
    <w:r w:rsidRPr="00F24218">
      <w:rPr>
        <w:rFonts w:ascii="Cambria" w:hAnsi="Cambria"/>
        <w:i/>
        <w:iCs/>
        <w:sz w:val="20"/>
        <w:szCs w:val="20"/>
      </w:rPr>
      <w:t>Journal Title</w:t>
    </w:r>
  </w:p>
  <w:p w14:paraId="47F6030D" w14:textId="77777777" w:rsidR="00DB230A" w:rsidRPr="00F24218" w:rsidRDefault="00DB230A" w:rsidP="00DB230A">
    <w:pPr>
      <w:tabs>
        <w:tab w:val="left" w:pos="2940"/>
      </w:tabs>
      <w:spacing w:after="0"/>
      <w:jc w:val="center"/>
      <w:rPr>
        <w:sz w:val="20"/>
        <w:szCs w:val="20"/>
      </w:rPr>
    </w:pPr>
    <w:r w:rsidRPr="00F24218">
      <w:rPr>
        <w:rFonts w:ascii="Cambria" w:hAnsi="Cambria"/>
        <w:sz w:val="20"/>
        <w:szCs w:val="20"/>
      </w:rPr>
      <w:t>ISSN (Print) 2580-6750</w:t>
    </w:r>
    <w:r>
      <w:rPr>
        <w:rFonts w:ascii="Cambria" w:hAnsi="Cambria"/>
        <w:sz w:val="20"/>
        <w:szCs w:val="20"/>
      </w:rPr>
      <w:t xml:space="preserve"> | </w:t>
    </w:r>
    <w:r w:rsidRPr="00F24218">
      <w:rPr>
        <w:rFonts w:ascii="Cambria" w:hAnsi="Cambria"/>
        <w:sz w:val="20"/>
        <w:szCs w:val="20"/>
      </w:rPr>
      <w:t>ISSN (Online) 2680-6742</w:t>
    </w:r>
  </w:p>
  <w:p w14:paraId="16014765" w14:textId="150D6C40" w:rsidR="00CA0A6D" w:rsidRPr="00DB230A" w:rsidRDefault="00CA0A6D" w:rsidP="00DB23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8815" w:type="dxa"/>
      <w:tblLook w:val="04A0" w:firstRow="1" w:lastRow="0" w:firstColumn="1" w:lastColumn="0" w:noHBand="0" w:noVBand="1"/>
    </w:tblPr>
    <w:tblGrid>
      <w:gridCol w:w="4427"/>
      <w:gridCol w:w="4388"/>
    </w:tblGrid>
    <w:tr w:rsidR="00DB230A" w14:paraId="3C1A4651" w14:textId="77777777" w:rsidTr="00A55C6D">
      <w:trPr>
        <w:trHeight w:val="1318"/>
      </w:trPr>
      <w:tc>
        <w:tcPr>
          <w:tcW w:w="4427" w:type="dxa"/>
          <w:tcBorders>
            <w:top w:val="nil"/>
            <w:left w:val="nil"/>
            <w:bottom w:val="nil"/>
            <w:right w:val="nil"/>
          </w:tcBorders>
        </w:tcPr>
        <w:p w14:paraId="6007D9B1" w14:textId="77777777" w:rsidR="00DB230A" w:rsidRPr="00216676" w:rsidRDefault="00DB230A" w:rsidP="00DB230A">
          <w:pPr>
            <w:widowControl w:val="0"/>
            <w:shd w:val="clear" w:color="auto" w:fill="FFFFFF"/>
            <w:autoSpaceDE w:val="0"/>
            <w:autoSpaceDN w:val="0"/>
            <w:adjustRightInd w:val="0"/>
            <w:rPr>
              <w:rFonts w:ascii="Times New Roman" w:hAnsi="Times New Roman"/>
              <w:b/>
              <w:sz w:val="66"/>
              <w:szCs w:val="24"/>
            </w:rPr>
          </w:pPr>
          <w:r>
            <w:rPr>
              <w:rFonts w:ascii="Times New Roman" w:hAnsi="Times New Roman"/>
              <w:b/>
              <w:sz w:val="66"/>
              <w:szCs w:val="24"/>
            </w:rPr>
            <w:t>BORNEO</w:t>
          </w:r>
        </w:p>
        <w:p w14:paraId="2837415B" w14:textId="77777777" w:rsidR="00DB230A" w:rsidRDefault="00DB230A" w:rsidP="00DB230A">
          <w:pPr>
            <w:pStyle w:val="Header"/>
            <w:spacing w:after="240"/>
            <w:jc w:val="both"/>
            <w:rPr>
              <w:rFonts w:ascii="Cambria" w:hAnsi="Cambria"/>
              <w:b/>
              <w:bCs/>
            </w:rPr>
          </w:pPr>
          <w:r w:rsidRPr="00C02B69">
            <w:rPr>
              <w:rFonts w:ascii="Brush Script MT" w:hAnsi="Brush Script MT"/>
              <w:sz w:val="46"/>
              <w:szCs w:val="24"/>
            </w:rPr>
            <w:t>Law Review</w:t>
          </w:r>
        </w:p>
      </w:tc>
      <w:tc>
        <w:tcPr>
          <w:tcW w:w="4388" w:type="dxa"/>
          <w:tcBorders>
            <w:top w:val="nil"/>
            <w:left w:val="nil"/>
            <w:bottom w:val="nil"/>
            <w:right w:val="nil"/>
          </w:tcBorders>
        </w:tcPr>
        <w:p w14:paraId="6AD302AB" w14:textId="77777777" w:rsidR="00DB230A" w:rsidRDefault="00DB230A" w:rsidP="00DB230A">
          <w:pPr>
            <w:pStyle w:val="Header"/>
            <w:spacing w:after="240"/>
            <w:jc w:val="both"/>
            <w:rPr>
              <w:rFonts w:ascii="Cambria" w:hAnsi="Cambria"/>
              <w:b/>
              <w:bCs/>
            </w:rPr>
          </w:pPr>
          <w:r w:rsidRPr="00CA0A6D">
            <w:rPr>
              <w:rFonts w:ascii="Cambria" w:hAnsi="Cambria"/>
              <w:i/>
              <w:iCs/>
            </w:rPr>
            <w:t xml:space="preserve">Vol… No… </w:t>
          </w:r>
          <w:r>
            <w:rPr>
              <w:rFonts w:ascii="Cambria" w:hAnsi="Cambria"/>
              <w:i/>
              <w:iCs/>
            </w:rPr>
            <w:t>Month</w:t>
          </w:r>
          <w:r w:rsidRPr="00CA0A6D">
            <w:rPr>
              <w:rFonts w:ascii="Cambria" w:hAnsi="Cambria"/>
              <w:i/>
              <w:iCs/>
            </w:rPr>
            <w:t>…</w:t>
          </w:r>
          <w:r>
            <w:rPr>
              <w:rFonts w:ascii="Cambria" w:hAnsi="Cambria"/>
              <w:i/>
              <w:iCs/>
            </w:rPr>
            <w:t xml:space="preserve"> Year:</w:t>
          </w:r>
          <w:r w:rsidRPr="00CA0A6D">
            <w:rPr>
              <w:rFonts w:ascii="Cambria" w:hAnsi="Cambria"/>
              <w:i/>
              <w:iCs/>
            </w:rPr>
            <w:t xml:space="preserve"> </w:t>
          </w:r>
          <w:r>
            <w:rPr>
              <w:rFonts w:ascii="Cambria" w:hAnsi="Cambria"/>
              <w:i/>
              <w:iCs/>
            </w:rPr>
            <w:t>pp</w:t>
          </w:r>
          <w:r w:rsidRPr="00CA0A6D">
            <w:rPr>
              <w:rFonts w:ascii="Cambria" w:hAnsi="Cambria"/>
              <w:i/>
              <w:iCs/>
            </w:rPr>
            <w:t>. xxx-xxx</w:t>
          </w:r>
          <w:r>
            <w:rPr>
              <w:rFonts w:ascii="Cambria" w:hAnsi="Cambria"/>
              <w:i/>
              <w:iCs/>
            </w:rPr>
            <w:t xml:space="preserve">. Faculty of Law Borneo Tarakan University, North Borneo </w:t>
          </w:r>
          <w:r w:rsidRPr="0069072D">
            <w:rPr>
              <w:rFonts w:ascii="Cambria" w:hAnsi="Cambria"/>
            </w:rPr>
            <w:t>ISSN (Print) 2580-6750</w:t>
          </w:r>
          <w:r>
            <w:rPr>
              <w:rFonts w:ascii="Cambria" w:hAnsi="Cambria"/>
            </w:rPr>
            <w:t xml:space="preserve"> | </w:t>
          </w:r>
          <w:r w:rsidRPr="0069072D">
            <w:rPr>
              <w:rFonts w:ascii="Cambria" w:hAnsi="Cambria"/>
            </w:rPr>
            <w:t>ISSN (Online) 2680-6742</w:t>
          </w:r>
        </w:p>
      </w:tc>
    </w:tr>
  </w:tbl>
  <w:p w14:paraId="184082C3" w14:textId="74572421" w:rsidR="00CA0A6D" w:rsidRPr="00DB230A" w:rsidRDefault="00CA0A6D" w:rsidP="00DB23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E0262"/>
    <w:multiLevelType w:val="hybridMultilevel"/>
    <w:tmpl w:val="8CF296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8E243C"/>
    <w:multiLevelType w:val="hybridMultilevel"/>
    <w:tmpl w:val="97146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AD7"/>
    <w:rsid w:val="00013515"/>
    <w:rsid w:val="000B7E76"/>
    <w:rsid w:val="0015695F"/>
    <w:rsid w:val="00183F11"/>
    <w:rsid w:val="002519B7"/>
    <w:rsid w:val="002876F8"/>
    <w:rsid w:val="002B1F41"/>
    <w:rsid w:val="002F4C7C"/>
    <w:rsid w:val="003D3354"/>
    <w:rsid w:val="0043280D"/>
    <w:rsid w:val="004337B3"/>
    <w:rsid w:val="004578E0"/>
    <w:rsid w:val="0052398A"/>
    <w:rsid w:val="00581133"/>
    <w:rsid w:val="0069072D"/>
    <w:rsid w:val="006E38ED"/>
    <w:rsid w:val="006E5AA5"/>
    <w:rsid w:val="007207CE"/>
    <w:rsid w:val="008007C1"/>
    <w:rsid w:val="00852066"/>
    <w:rsid w:val="008634DC"/>
    <w:rsid w:val="00880A39"/>
    <w:rsid w:val="008C4977"/>
    <w:rsid w:val="008D11E4"/>
    <w:rsid w:val="008E4D42"/>
    <w:rsid w:val="009A10EE"/>
    <w:rsid w:val="009C2B50"/>
    <w:rsid w:val="00AA5A69"/>
    <w:rsid w:val="00AE5AD7"/>
    <w:rsid w:val="00AE6800"/>
    <w:rsid w:val="00B06815"/>
    <w:rsid w:val="00B41551"/>
    <w:rsid w:val="00C54E7E"/>
    <w:rsid w:val="00C85B76"/>
    <w:rsid w:val="00CA0A6D"/>
    <w:rsid w:val="00CD1328"/>
    <w:rsid w:val="00D00DF5"/>
    <w:rsid w:val="00D831F5"/>
    <w:rsid w:val="00DB230A"/>
    <w:rsid w:val="00DE5E4E"/>
    <w:rsid w:val="00E342C2"/>
    <w:rsid w:val="00E364BF"/>
    <w:rsid w:val="00F24218"/>
    <w:rsid w:val="00F85D48"/>
    <w:rsid w:val="00FA4B25"/>
    <w:rsid w:val="00FE2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C324"/>
  <w15:chartTrackingRefBased/>
  <w15:docId w15:val="{2435C591-E9A3-4886-887E-63B7AABC6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A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A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A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A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A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A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A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A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A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A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A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A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A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A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A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A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A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AD7"/>
    <w:rPr>
      <w:rFonts w:eastAsiaTheme="majorEastAsia" w:cstheme="majorBidi"/>
      <w:color w:val="272727" w:themeColor="text1" w:themeTint="D8"/>
    </w:rPr>
  </w:style>
  <w:style w:type="paragraph" w:styleId="Title">
    <w:name w:val="Title"/>
    <w:basedOn w:val="Normal"/>
    <w:next w:val="Normal"/>
    <w:link w:val="TitleChar"/>
    <w:uiPriority w:val="10"/>
    <w:qFormat/>
    <w:rsid w:val="00AE5A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A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A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A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AD7"/>
    <w:pPr>
      <w:spacing w:before="160"/>
      <w:jc w:val="center"/>
    </w:pPr>
    <w:rPr>
      <w:i/>
      <w:iCs/>
      <w:color w:val="404040" w:themeColor="text1" w:themeTint="BF"/>
    </w:rPr>
  </w:style>
  <w:style w:type="character" w:customStyle="1" w:styleId="QuoteChar">
    <w:name w:val="Quote Char"/>
    <w:basedOn w:val="DefaultParagraphFont"/>
    <w:link w:val="Quote"/>
    <w:uiPriority w:val="29"/>
    <w:rsid w:val="00AE5AD7"/>
    <w:rPr>
      <w:i/>
      <w:iCs/>
      <w:color w:val="404040" w:themeColor="text1" w:themeTint="BF"/>
    </w:rPr>
  </w:style>
  <w:style w:type="paragraph" w:styleId="ListParagraph">
    <w:name w:val="List Paragraph"/>
    <w:basedOn w:val="Normal"/>
    <w:uiPriority w:val="34"/>
    <w:qFormat/>
    <w:rsid w:val="00AE5AD7"/>
    <w:pPr>
      <w:ind w:left="720"/>
      <w:contextualSpacing/>
    </w:pPr>
  </w:style>
  <w:style w:type="character" w:styleId="IntenseEmphasis">
    <w:name w:val="Intense Emphasis"/>
    <w:basedOn w:val="DefaultParagraphFont"/>
    <w:uiPriority w:val="21"/>
    <w:qFormat/>
    <w:rsid w:val="00AE5AD7"/>
    <w:rPr>
      <w:i/>
      <w:iCs/>
      <w:color w:val="0F4761" w:themeColor="accent1" w:themeShade="BF"/>
    </w:rPr>
  </w:style>
  <w:style w:type="paragraph" w:styleId="IntenseQuote">
    <w:name w:val="Intense Quote"/>
    <w:basedOn w:val="Normal"/>
    <w:next w:val="Normal"/>
    <w:link w:val="IntenseQuoteChar"/>
    <w:uiPriority w:val="30"/>
    <w:qFormat/>
    <w:rsid w:val="00AE5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AD7"/>
    <w:rPr>
      <w:i/>
      <w:iCs/>
      <w:color w:val="0F4761" w:themeColor="accent1" w:themeShade="BF"/>
    </w:rPr>
  </w:style>
  <w:style w:type="character" w:styleId="IntenseReference">
    <w:name w:val="Intense Reference"/>
    <w:basedOn w:val="DefaultParagraphFont"/>
    <w:uiPriority w:val="32"/>
    <w:qFormat/>
    <w:rsid w:val="00AE5AD7"/>
    <w:rPr>
      <w:b/>
      <w:bCs/>
      <w:smallCaps/>
      <w:color w:val="0F4761" w:themeColor="accent1" w:themeShade="BF"/>
      <w:spacing w:val="5"/>
    </w:rPr>
  </w:style>
  <w:style w:type="paragraph" w:styleId="Header">
    <w:name w:val="header"/>
    <w:basedOn w:val="Normal"/>
    <w:link w:val="HeaderChar"/>
    <w:uiPriority w:val="99"/>
    <w:unhideWhenUsed/>
    <w:rsid w:val="00AE5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AD7"/>
  </w:style>
  <w:style w:type="paragraph" w:styleId="Footer">
    <w:name w:val="footer"/>
    <w:basedOn w:val="Normal"/>
    <w:link w:val="FooterChar"/>
    <w:uiPriority w:val="99"/>
    <w:unhideWhenUsed/>
    <w:rsid w:val="00AE5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AD7"/>
  </w:style>
  <w:style w:type="table" w:styleId="TableGrid">
    <w:name w:val="Table Grid"/>
    <w:basedOn w:val="TableNormal"/>
    <w:uiPriority w:val="39"/>
    <w:rsid w:val="00287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64BF"/>
    <w:rPr>
      <w:color w:val="467886" w:themeColor="hyperlink"/>
      <w:u w:val="single"/>
    </w:rPr>
  </w:style>
  <w:style w:type="character" w:styleId="UnresolvedMention">
    <w:name w:val="Unresolved Mention"/>
    <w:basedOn w:val="DefaultParagraphFont"/>
    <w:uiPriority w:val="99"/>
    <w:semiHidden/>
    <w:unhideWhenUsed/>
    <w:rsid w:val="00E364BF"/>
    <w:rPr>
      <w:color w:val="605E5C"/>
      <w:shd w:val="clear" w:color="auto" w:fill="E1DFDD"/>
    </w:rPr>
  </w:style>
  <w:style w:type="character" w:styleId="PlaceholderText">
    <w:name w:val="Placeholder Text"/>
    <w:basedOn w:val="DefaultParagraphFont"/>
    <w:uiPriority w:val="99"/>
    <w:semiHidden/>
    <w:rsid w:val="00CD13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1256975">
      <w:bodyDiv w:val="1"/>
      <w:marLeft w:val="0"/>
      <w:marRight w:val="0"/>
      <w:marTop w:val="0"/>
      <w:marBottom w:val="0"/>
      <w:divBdr>
        <w:top w:val="none" w:sz="0" w:space="0" w:color="auto"/>
        <w:left w:val="none" w:sz="0" w:space="0" w:color="auto"/>
        <w:bottom w:val="none" w:sz="0" w:space="0" w:color="auto"/>
        <w:right w:val="none" w:sz="0" w:space="0" w:color="auto"/>
      </w:divBdr>
    </w:div>
    <w:div w:id="192764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ianto480@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ovyarsatriawan3@gmail.com" TargetMode="External"/><Relationship Id="rId4" Type="http://schemas.openxmlformats.org/officeDocument/2006/relationships/settings" Target="settings.xml"/><Relationship Id="rId9" Type="http://schemas.openxmlformats.org/officeDocument/2006/relationships/hyperlink" Target="mailto:viviarsh1@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812A4-68A3-487A-B745-85BB2ACE8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10853</Words>
  <Characters>61863</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Bnasar</dc:creator>
  <cp:keywords/>
  <dc:description/>
  <cp:lastModifiedBy>accmpc2021@gmail.com</cp:lastModifiedBy>
  <cp:revision>3</cp:revision>
  <dcterms:created xsi:type="dcterms:W3CDTF">2026-09-14T09:24:00Z</dcterms:created>
  <dcterms:modified xsi:type="dcterms:W3CDTF">2026-09-14T09:26:00Z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201d6daa-c0d6-3a31-88fc-0b20931a4bec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http://www.zotero.org/styles/chicago-library-list</vt:lpwstr>
  </property>
  <property fmtid="{D5CDD505-2E9C-101B-9397-08002B2CF9AE}" pid="14" name="Mendeley Recent Style Name 4_1">
    <vt:lpwstr>Chicago Manual of Style 17th edition (library list)</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(deprecated)</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